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D22E" w14:textId="77777777" w:rsidR="00397674" w:rsidRDefault="00397674" w:rsidP="00397674">
      <w:pPr>
        <w:spacing w:after="480"/>
      </w:pPr>
      <w:r>
        <w:rPr>
          <w:rFonts w:ascii="Arial Black" w:hAnsi="Arial Black"/>
          <w:noProof/>
          <w:sz w:val="50"/>
          <w:szCs w:val="50"/>
        </w:rPr>
        <w:drawing>
          <wp:inline distT="0" distB="0" distL="0" distR="0" wp14:anchorId="646C95EE" wp14:editId="34C0C7B1">
            <wp:extent cx="2540000" cy="7302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arr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730250"/>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677"/>
        <w:gridCol w:w="236"/>
      </w:tblGrid>
      <w:tr w:rsidR="00397674" w14:paraId="225AD7FB" w14:textId="77777777" w:rsidTr="00B24E6B">
        <w:trPr>
          <w:tblHeader/>
        </w:trPr>
        <w:tc>
          <w:tcPr>
            <w:tcW w:w="3397" w:type="dxa"/>
            <w:tcBorders>
              <w:bottom w:val="single" w:sz="18" w:space="0" w:color="auto"/>
            </w:tcBorders>
          </w:tcPr>
          <w:p w14:paraId="3490F884" w14:textId="77777777" w:rsidR="00397674" w:rsidRPr="00B805DB" w:rsidRDefault="00397674" w:rsidP="00B24E6B">
            <w:pPr>
              <w:pStyle w:val="Heading1"/>
              <w:spacing w:after="240"/>
            </w:pPr>
            <w:r>
              <w:t>Report f</w:t>
            </w:r>
            <w:r w:rsidRPr="00C869F3">
              <w:t>or:</w:t>
            </w:r>
          </w:p>
        </w:tc>
        <w:tc>
          <w:tcPr>
            <w:tcW w:w="4912" w:type="dxa"/>
            <w:gridSpan w:val="2"/>
            <w:tcBorders>
              <w:bottom w:val="single" w:sz="18" w:space="0" w:color="auto"/>
            </w:tcBorders>
          </w:tcPr>
          <w:p w14:paraId="389AB692" w14:textId="77777777" w:rsidR="00397674" w:rsidRPr="005E3A10" w:rsidRDefault="00397674" w:rsidP="00B24E6B">
            <w:pPr>
              <w:pStyle w:val="Heading1"/>
              <w:rPr>
                <w:szCs w:val="24"/>
              </w:rPr>
            </w:pPr>
            <w:r w:rsidRPr="005E3A10">
              <w:t>Cabinet</w:t>
            </w:r>
          </w:p>
        </w:tc>
      </w:tr>
      <w:tr w:rsidR="00397674" w14:paraId="21427D90" w14:textId="77777777" w:rsidTr="00B24E6B">
        <w:tc>
          <w:tcPr>
            <w:tcW w:w="3397" w:type="dxa"/>
            <w:tcBorders>
              <w:top w:val="single" w:sz="18" w:space="0" w:color="auto"/>
            </w:tcBorders>
          </w:tcPr>
          <w:p w14:paraId="121C82F7" w14:textId="77777777" w:rsidR="00397674" w:rsidRPr="00C13A5F" w:rsidRDefault="00397674" w:rsidP="00B24E6B">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gridSpan w:val="2"/>
            <w:tcBorders>
              <w:top w:val="single" w:sz="18" w:space="0" w:color="auto"/>
            </w:tcBorders>
          </w:tcPr>
          <w:p w14:paraId="6AD8FBD8" w14:textId="1F7B0775" w:rsidR="00397674" w:rsidRPr="005E3A10" w:rsidRDefault="00EB0008" w:rsidP="00B24E6B">
            <w:pPr>
              <w:rPr>
                <w:rFonts w:cs="Arial"/>
                <w:szCs w:val="24"/>
              </w:rPr>
            </w:pPr>
            <w:r w:rsidRPr="00CB01CC">
              <w:rPr>
                <w:rFonts w:cs="Arial"/>
                <w:szCs w:val="24"/>
              </w:rPr>
              <w:t xml:space="preserve">14 </w:t>
            </w:r>
            <w:r w:rsidR="00327BBA" w:rsidRPr="00CB01CC">
              <w:rPr>
                <w:rFonts w:cs="Arial"/>
                <w:szCs w:val="24"/>
              </w:rPr>
              <w:t>March 2024</w:t>
            </w:r>
          </w:p>
        </w:tc>
      </w:tr>
      <w:tr w:rsidR="00397674" w14:paraId="29154BCA" w14:textId="77777777" w:rsidTr="00B24E6B">
        <w:tc>
          <w:tcPr>
            <w:tcW w:w="3397" w:type="dxa"/>
          </w:tcPr>
          <w:p w14:paraId="0ED7CCF7" w14:textId="77777777" w:rsidR="00397674" w:rsidRPr="00C13A5F" w:rsidRDefault="00397674" w:rsidP="00B24E6B">
            <w:pPr>
              <w:pStyle w:val="Infotext"/>
              <w:spacing w:after="240"/>
              <w:rPr>
                <w:rFonts w:ascii="Arial Black" w:hAnsi="Arial Black"/>
              </w:rPr>
            </w:pPr>
            <w:r w:rsidRPr="00C13A5F">
              <w:rPr>
                <w:rFonts w:ascii="Arial Black" w:hAnsi="Arial Black" w:cs="Arial"/>
              </w:rPr>
              <w:t>Subject:</w:t>
            </w:r>
          </w:p>
        </w:tc>
        <w:tc>
          <w:tcPr>
            <w:tcW w:w="4912" w:type="dxa"/>
            <w:gridSpan w:val="2"/>
          </w:tcPr>
          <w:p w14:paraId="3BACC391" w14:textId="77777777" w:rsidR="00397674" w:rsidRDefault="00BD1789" w:rsidP="00B24E6B">
            <w:r>
              <w:t xml:space="preserve">Procurement of </w:t>
            </w:r>
            <w:r w:rsidR="00397674">
              <w:t xml:space="preserve">Revenues </w:t>
            </w:r>
            <w:r w:rsidR="00EB0008">
              <w:t xml:space="preserve">and </w:t>
            </w:r>
            <w:r>
              <w:t xml:space="preserve">Housing </w:t>
            </w:r>
            <w:r w:rsidR="00EB0008">
              <w:t xml:space="preserve">Benefits </w:t>
            </w:r>
            <w:r>
              <w:t xml:space="preserve">Processing </w:t>
            </w:r>
            <w:r w:rsidR="00397674">
              <w:t>S</w:t>
            </w:r>
            <w:r>
              <w:t>upport</w:t>
            </w:r>
            <w:r w:rsidR="00397674">
              <w:t xml:space="preserve"> </w:t>
            </w:r>
            <w:r>
              <w:t>Contract</w:t>
            </w:r>
          </w:p>
          <w:p w14:paraId="0AD5045E" w14:textId="47950A1D" w:rsidR="00E857F7" w:rsidRPr="005E3A10" w:rsidRDefault="00E857F7" w:rsidP="00B24E6B">
            <w:pPr>
              <w:rPr>
                <w:rFonts w:cs="Arial"/>
                <w:szCs w:val="24"/>
              </w:rPr>
            </w:pPr>
          </w:p>
        </w:tc>
      </w:tr>
      <w:tr w:rsidR="00397674" w14:paraId="75F3A60C" w14:textId="77777777" w:rsidTr="00B24E6B">
        <w:tc>
          <w:tcPr>
            <w:tcW w:w="3397" w:type="dxa"/>
          </w:tcPr>
          <w:p w14:paraId="31093C5B" w14:textId="77777777" w:rsidR="00397674" w:rsidRPr="00C13A5F" w:rsidRDefault="00397674" w:rsidP="00B24E6B">
            <w:pPr>
              <w:pStyle w:val="Infotext"/>
              <w:spacing w:after="240"/>
              <w:rPr>
                <w:rFonts w:ascii="Arial Black" w:hAnsi="Arial Black" w:cs="Arial"/>
              </w:rPr>
            </w:pPr>
            <w:r w:rsidRPr="00C13A5F">
              <w:rPr>
                <w:rFonts w:ascii="Arial Black" w:hAnsi="Arial Black" w:cs="Arial"/>
              </w:rPr>
              <w:t>Key Decision:</w:t>
            </w:r>
          </w:p>
        </w:tc>
        <w:tc>
          <w:tcPr>
            <w:tcW w:w="4912" w:type="dxa"/>
            <w:gridSpan w:val="2"/>
          </w:tcPr>
          <w:p w14:paraId="4A5D3CD5" w14:textId="77777777" w:rsidR="00397674" w:rsidRPr="00FC521B" w:rsidRDefault="00397674" w:rsidP="00B24E6B">
            <w:pPr>
              <w:pStyle w:val="Infotext"/>
              <w:rPr>
                <w:rFonts w:cs="Arial"/>
                <w:szCs w:val="24"/>
                <w:highlight w:val="yellow"/>
              </w:rPr>
            </w:pPr>
            <w:r w:rsidRPr="00FC521B">
              <w:rPr>
                <w:rFonts w:cs="Arial"/>
                <w:sz w:val="24"/>
                <w:szCs w:val="24"/>
              </w:rPr>
              <w:t xml:space="preserve">Yes </w:t>
            </w:r>
          </w:p>
        </w:tc>
      </w:tr>
      <w:tr w:rsidR="00397674" w14:paraId="21454626" w14:textId="77777777" w:rsidTr="00B24E6B">
        <w:tc>
          <w:tcPr>
            <w:tcW w:w="3397" w:type="dxa"/>
          </w:tcPr>
          <w:p w14:paraId="1F35FF11" w14:textId="77777777" w:rsidR="00397674" w:rsidRPr="00C13A5F" w:rsidRDefault="00397674" w:rsidP="00B24E6B">
            <w:pPr>
              <w:pStyle w:val="Infotext"/>
              <w:spacing w:after="240"/>
              <w:rPr>
                <w:rFonts w:ascii="Arial Black" w:hAnsi="Arial Black" w:cs="Arial"/>
              </w:rPr>
            </w:pPr>
            <w:r w:rsidRPr="00C13A5F">
              <w:rPr>
                <w:rFonts w:ascii="Arial Black" w:hAnsi="Arial Black" w:cs="Arial"/>
              </w:rPr>
              <w:t>Responsible Officer:</w:t>
            </w:r>
          </w:p>
        </w:tc>
        <w:tc>
          <w:tcPr>
            <w:tcW w:w="4912" w:type="dxa"/>
            <w:gridSpan w:val="2"/>
          </w:tcPr>
          <w:p w14:paraId="7586E772" w14:textId="45EFDDB3" w:rsidR="00397674" w:rsidRPr="005E3A10" w:rsidRDefault="00397674" w:rsidP="00B24E6B">
            <w:pPr>
              <w:pStyle w:val="Infotext"/>
              <w:rPr>
                <w:rFonts w:cs="Arial"/>
                <w:sz w:val="24"/>
                <w:szCs w:val="24"/>
              </w:rPr>
            </w:pPr>
            <w:r w:rsidRPr="006806BC">
              <w:rPr>
                <w:rFonts w:cs="Arial"/>
                <w:sz w:val="24"/>
                <w:szCs w:val="24"/>
              </w:rPr>
              <w:t xml:space="preserve">Sharon Daniels </w:t>
            </w:r>
            <w:r>
              <w:rPr>
                <w:rFonts w:cs="Arial"/>
                <w:sz w:val="24"/>
                <w:szCs w:val="24"/>
              </w:rPr>
              <w:t xml:space="preserve">– </w:t>
            </w:r>
            <w:r w:rsidR="008D3E1F">
              <w:rPr>
                <w:rFonts w:cs="Arial"/>
                <w:sz w:val="24"/>
                <w:szCs w:val="24"/>
              </w:rPr>
              <w:t>Interim</w:t>
            </w:r>
            <w:r w:rsidR="00E07F77">
              <w:rPr>
                <w:rFonts w:cs="Arial"/>
                <w:sz w:val="24"/>
                <w:szCs w:val="24"/>
              </w:rPr>
              <w:t xml:space="preserve"> </w:t>
            </w:r>
            <w:r>
              <w:rPr>
                <w:rFonts w:cs="Arial"/>
                <w:sz w:val="24"/>
                <w:szCs w:val="24"/>
              </w:rPr>
              <w:t>Director of Finance</w:t>
            </w:r>
            <w:r w:rsidR="00951927">
              <w:rPr>
                <w:rFonts w:cs="Arial"/>
                <w:sz w:val="24"/>
                <w:szCs w:val="24"/>
              </w:rPr>
              <w:t xml:space="preserve"> and Assurance and </w:t>
            </w:r>
            <w:r w:rsidR="00193518">
              <w:rPr>
                <w:rFonts w:cs="Arial"/>
                <w:sz w:val="24"/>
                <w:szCs w:val="24"/>
              </w:rPr>
              <w:t>S</w:t>
            </w:r>
            <w:r w:rsidR="00951927">
              <w:rPr>
                <w:rFonts w:cs="Arial"/>
                <w:sz w:val="24"/>
                <w:szCs w:val="24"/>
              </w:rPr>
              <w:t>151</w:t>
            </w:r>
            <w:r w:rsidR="00193518">
              <w:rPr>
                <w:rFonts w:cs="Arial"/>
                <w:sz w:val="24"/>
                <w:szCs w:val="24"/>
              </w:rPr>
              <w:t xml:space="preserve"> Officer</w:t>
            </w:r>
            <w:r>
              <w:rPr>
                <w:rFonts w:cs="Arial"/>
                <w:sz w:val="24"/>
                <w:szCs w:val="24"/>
              </w:rPr>
              <w:t>, Resources Directorate</w:t>
            </w:r>
          </w:p>
          <w:p w14:paraId="5369EA10" w14:textId="77777777" w:rsidR="00397674" w:rsidRPr="005E3A10" w:rsidRDefault="00397674" w:rsidP="00B24E6B">
            <w:pPr>
              <w:pStyle w:val="Infotext"/>
              <w:rPr>
                <w:rFonts w:cs="Arial"/>
                <w:sz w:val="24"/>
                <w:szCs w:val="24"/>
              </w:rPr>
            </w:pPr>
          </w:p>
        </w:tc>
      </w:tr>
      <w:tr w:rsidR="00397674" w14:paraId="655E730C" w14:textId="77777777" w:rsidTr="00B24E6B">
        <w:tc>
          <w:tcPr>
            <w:tcW w:w="3397" w:type="dxa"/>
          </w:tcPr>
          <w:p w14:paraId="79A0ED94" w14:textId="77777777" w:rsidR="00397674" w:rsidRPr="00C13A5F" w:rsidRDefault="00397674" w:rsidP="00B24E6B">
            <w:pPr>
              <w:pStyle w:val="Infotext"/>
              <w:spacing w:after="240"/>
              <w:rPr>
                <w:rFonts w:ascii="Arial Black" w:hAnsi="Arial Black"/>
              </w:rPr>
            </w:pPr>
            <w:r w:rsidRPr="00DB6C3D">
              <w:rPr>
                <w:rFonts w:ascii="Arial Black" w:hAnsi="Arial Black"/>
              </w:rPr>
              <w:t>Portfolio Holder:</w:t>
            </w:r>
          </w:p>
        </w:tc>
        <w:tc>
          <w:tcPr>
            <w:tcW w:w="4912" w:type="dxa"/>
            <w:gridSpan w:val="2"/>
          </w:tcPr>
          <w:p w14:paraId="2DC73570" w14:textId="732A94E1" w:rsidR="00397674" w:rsidRPr="00DC7FD5" w:rsidRDefault="00397674" w:rsidP="00B24E6B">
            <w:pPr>
              <w:pStyle w:val="Infotext"/>
              <w:rPr>
                <w:rFonts w:cs="Arial"/>
                <w:sz w:val="24"/>
                <w:szCs w:val="24"/>
              </w:rPr>
            </w:pPr>
            <w:r>
              <w:rPr>
                <w:sz w:val="24"/>
                <w:szCs w:val="24"/>
              </w:rPr>
              <w:t xml:space="preserve">Councillor </w:t>
            </w:r>
            <w:r w:rsidRPr="00543B7B">
              <w:rPr>
                <w:sz w:val="24"/>
                <w:szCs w:val="24"/>
              </w:rPr>
              <w:t>David Ashton</w:t>
            </w:r>
            <w:r>
              <w:rPr>
                <w:sz w:val="24"/>
                <w:szCs w:val="24"/>
              </w:rPr>
              <w:t xml:space="preserve"> – Portfolio Holder for Finance and </w:t>
            </w:r>
            <w:r w:rsidR="00C06154">
              <w:rPr>
                <w:sz w:val="24"/>
                <w:szCs w:val="24"/>
              </w:rPr>
              <w:t xml:space="preserve">Human </w:t>
            </w:r>
            <w:r>
              <w:rPr>
                <w:sz w:val="24"/>
                <w:szCs w:val="24"/>
              </w:rPr>
              <w:t>Resources</w:t>
            </w:r>
            <w:r w:rsidRPr="00DC7FD5">
              <w:rPr>
                <w:sz w:val="24"/>
                <w:szCs w:val="24"/>
              </w:rPr>
              <w:t xml:space="preserve"> </w:t>
            </w:r>
          </w:p>
          <w:p w14:paraId="4E59C81A" w14:textId="77777777" w:rsidR="00397674" w:rsidRPr="005E3A10" w:rsidRDefault="00397674" w:rsidP="00B24E6B">
            <w:pPr>
              <w:pStyle w:val="Infotext"/>
              <w:rPr>
                <w:rFonts w:cs="Arial"/>
                <w:color w:val="FF0000"/>
                <w:sz w:val="24"/>
                <w:szCs w:val="24"/>
              </w:rPr>
            </w:pPr>
          </w:p>
        </w:tc>
      </w:tr>
      <w:tr w:rsidR="00397674" w14:paraId="543ED4F8" w14:textId="77777777" w:rsidTr="00B24E6B">
        <w:tc>
          <w:tcPr>
            <w:tcW w:w="3397" w:type="dxa"/>
          </w:tcPr>
          <w:p w14:paraId="737078E2" w14:textId="77777777" w:rsidR="00397674" w:rsidRPr="00C13A5F" w:rsidRDefault="00397674" w:rsidP="00B24E6B">
            <w:pPr>
              <w:pStyle w:val="Infotext"/>
              <w:spacing w:after="240"/>
              <w:rPr>
                <w:rFonts w:ascii="Arial Black" w:hAnsi="Arial Black"/>
              </w:rPr>
            </w:pPr>
            <w:r w:rsidRPr="00DB6C3D">
              <w:rPr>
                <w:rFonts w:ascii="Arial Black" w:hAnsi="Arial Black"/>
              </w:rPr>
              <w:t>Exempt:</w:t>
            </w:r>
          </w:p>
        </w:tc>
        <w:tc>
          <w:tcPr>
            <w:tcW w:w="4912" w:type="dxa"/>
            <w:gridSpan w:val="2"/>
          </w:tcPr>
          <w:p w14:paraId="3CDA7B06" w14:textId="2560A2F9" w:rsidR="00397674" w:rsidRPr="00830E1B" w:rsidRDefault="00397674" w:rsidP="00B24E6B">
            <w:pPr>
              <w:pStyle w:val="Infotext"/>
              <w:rPr>
                <w:rFonts w:cs="Arial"/>
                <w:sz w:val="24"/>
                <w:szCs w:val="24"/>
              </w:rPr>
            </w:pPr>
            <w:r w:rsidRPr="00CB01CC">
              <w:rPr>
                <w:rFonts w:cs="Arial"/>
                <w:sz w:val="24"/>
                <w:szCs w:val="24"/>
              </w:rPr>
              <w:t xml:space="preserve">No, </w:t>
            </w:r>
            <w:r w:rsidRPr="00CB01CC">
              <w:rPr>
                <w:sz w:val="24"/>
                <w:szCs w:val="24"/>
              </w:rPr>
              <w:t>except for Appendi</w:t>
            </w:r>
            <w:r w:rsidR="00E1320F">
              <w:rPr>
                <w:sz w:val="24"/>
                <w:szCs w:val="24"/>
              </w:rPr>
              <w:t>ces</w:t>
            </w:r>
            <w:r w:rsidRPr="00CB01CC">
              <w:rPr>
                <w:sz w:val="24"/>
                <w:szCs w:val="24"/>
              </w:rPr>
              <w:t xml:space="preserve"> 1</w:t>
            </w:r>
            <w:r w:rsidR="00E1320F">
              <w:rPr>
                <w:sz w:val="24"/>
                <w:szCs w:val="24"/>
              </w:rPr>
              <w:t>, 2</w:t>
            </w:r>
            <w:r w:rsidR="00A503F1">
              <w:rPr>
                <w:sz w:val="24"/>
                <w:szCs w:val="24"/>
              </w:rPr>
              <w:t xml:space="preserve">, 3, 4 and 5 </w:t>
            </w:r>
            <w:r w:rsidRPr="00CB01CC">
              <w:rPr>
                <w:sz w:val="24"/>
                <w:szCs w:val="24"/>
              </w:rPr>
              <w:t xml:space="preserve">which </w:t>
            </w:r>
            <w:r w:rsidR="00E1320F">
              <w:rPr>
                <w:sz w:val="24"/>
                <w:szCs w:val="24"/>
              </w:rPr>
              <w:t>are</w:t>
            </w:r>
            <w:r w:rsidRPr="00CB01CC">
              <w:rPr>
                <w:sz w:val="24"/>
                <w:szCs w:val="24"/>
              </w:rPr>
              <w:t xml:space="preserve"> exempt by virtue of Paragraph 3 of Schedule 12A of the Local Government Act 1972 because </w:t>
            </w:r>
            <w:r w:rsidR="00DD27D5">
              <w:rPr>
                <w:sz w:val="24"/>
                <w:szCs w:val="24"/>
              </w:rPr>
              <w:t>they</w:t>
            </w:r>
            <w:r w:rsidRPr="00CB01CC">
              <w:rPr>
                <w:sz w:val="24"/>
                <w:szCs w:val="24"/>
              </w:rPr>
              <w:t xml:space="preserve"> contain information relating to the financial and business affairs of the Council.</w:t>
            </w:r>
          </w:p>
          <w:p w14:paraId="24AE7803" w14:textId="77777777" w:rsidR="00397674" w:rsidRPr="005E3A10" w:rsidRDefault="00397674" w:rsidP="00B24E6B">
            <w:pPr>
              <w:pStyle w:val="Infotext"/>
              <w:rPr>
                <w:rFonts w:cs="Arial"/>
                <w:color w:val="FF0000"/>
                <w:sz w:val="24"/>
                <w:szCs w:val="24"/>
              </w:rPr>
            </w:pPr>
          </w:p>
        </w:tc>
      </w:tr>
      <w:tr w:rsidR="00397674" w14:paraId="37ECE90F" w14:textId="77777777" w:rsidTr="00B24E6B">
        <w:tc>
          <w:tcPr>
            <w:tcW w:w="3397" w:type="dxa"/>
          </w:tcPr>
          <w:p w14:paraId="097D0BAF" w14:textId="77777777" w:rsidR="00397674" w:rsidRPr="00C13A5F" w:rsidRDefault="00397674" w:rsidP="00B24E6B">
            <w:pPr>
              <w:pStyle w:val="Infotext"/>
              <w:spacing w:after="240"/>
              <w:rPr>
                <w:rFonts w:ascii="Arial Black" w:hAnsi="Arial Black"/>
              </w:rPr>
            </w:pPr>
            <w:r w:rsidRPr="00DB6C3D">
              <w:rPr>
                <w:rFonts w:ascii="Arial Black" w:hAnsi="Arial Black"/>
              </w:rPr>
              <w:t>Decision subject to Call-in:</w:t>
            </w:r>
          </w:p>
        </w:tc>
        <w:tc>
          <w:tcPr>
            <w:tcW w:w="4912" w:type="dxa"/>
            <w:gridSpan w:val="2"/>
          </w:tcPr>
          <w:p w14:paraId="1D35E708" w14:textId="77777777" w:rsidR="00397674" w:rsidRPr="005E3A10" w:rsidRDefault="00397674" w:rsidP="00B24E6B">
            <w:pPr>
              <w:pStyle w:val="Infotext"/>
              <w:rPr>
                <w:rFonts w:cs="Arial"/>
                <w:szCs w:val="24"/>
              </w:rPr>
            </w:pPr>
            <w:r w:rsidRPr="005E3A10">
              <w:rPr>
                <w:rFonts w:cs="Arial"/>
                <w:sz w:val="24"/>
                <w:szCs w:val="24"/>
              </w:rPr>
              <w:t>Yes</w:t>
            </w:r>
          </w:p>
        </w:tc>
      </w:tr>
      <w:tr w:rsidR="00397674" w14:paraId="2F5AE297" w14:textId="77777777" w:rsidTr="00B24E6B">
        <w:tc>
          <w:tcPr>
            <w:tcW w:w="3397" w:type="dxa"/>
          </w:tcPr>
          <w:p w14:paraId="16B5C569" w14:textId="77777777" w:rsidR="00397674" w:rsidRPr="00C13A5F" w:rsidRDefault="00397674" w:rsidP="00B24E6B">
            <w:pPr>
              <w:pStyle w:val="Infotext"/>
              <w:spacing w:after="240"/>
              <w:rPr>
                <w:rFonts w:ascii="Arial Black" w:hAnsi="Arial Black" w:cs="Arial"/>
              </w:rPr>
            </w:pPr>
            <w:r>
              <w:rPr>
                <w:rFonts w:ascii="Arial Black" w:hAnsi="Arial Black" w:cs="Arial"/>
              </w:rPr>
              <w:t>Wards affected:</w:t>
            </w:r>
          </w:p>
        </w:tc>
        <w:tc>
          <w:tcPr>
            <w:tcW w:w="4912" w:type="dxa"/>
            <w:gridSpan w:val="2"/>
          </w:tcPr>
          <w:p w14:paraId="56630245" w14:textId="77777777" w:rsidR="00397674" w:rsidRPr="00307F76" w:rsidRDefault="00397674" w:rsidP="00B24E6B">
            <w:pPr>
              <w:rPr>
                <w:rFonts w:cs="Arial"/>
                <w:b/>
                <w:color w:val="FF0000"/>
                <w:szCs w:val="24"/>
              </w:rPr>
            </w:pPr>
            <w:r>
              <w:rPr>
                <w:rFonts w:cs="Arial"/>
                <w:szCs w:val="24"/>
              </w:rPr>
              <w:t>All Wards</w:t>
            </w:r>
          </w:p>
        </w:tc>
      </w:tr>
      <w:tr w:rsidR="00397674" w14:paraId="2662CB2C" w14:textId="77777777" w:rsidTr="00B24E6B">
        <w:tc>
          <w:tcPr>
            <w:tcW w:w="3397" w:type="dxa"/>
          </w:tcPr>
          <w:p w14:paraId="4CB3864F" w14:textId="77777777" w:rsidR="00397674" w:rsidRPr="00C13A5F" w:rsidRDefault="00397674" w:rsidP="00B24E6B">
            <w:pPr>
              <w:pStyle w:val="Infotext"/>
              <w:spacing w:after="240"/>
              <w:rPr>
                <w:rFonts w:ascii="Arial Black" w:hAnsi="Arial Black" w:cs="Arial"/>
              </w:rPr>
            </w:pPr>
            <w:r w:rsidRPr="00C13A5F">
              <w:rPr>
                <w:rFonts w:ascii="Arial Black" w:hAnsi="Arial Black" w:cs="Arial"/>
              </w:rPr>
              <w:t>Enclosures:</w:t>
            </w:r>
          </w:p>
        </w:tc>
        <w:tc>
          <w:tcPr>
            <w:tcW w:w="4912" w:type="dxa"/>
            <w:gridSpan w:val="2"/>
          </w:tcPr>
          <w:p w14:paraId="5AB36150" w14:textId="0ADEF188" w:rsidR="00130012" w:rsidRDefault="00130012" w:rsidP="00654753">
            <w:pPr>
              <w:pStyle w:val="Infotext"/>
              <w:rPr>
                <w:sz w:val="24"/>
                <w:szCs w:val="24"/>
              </w:rPr>
            </w:pPr>
            <w:r>
              <w:rPr>
                <w:sz w:val="24"/>
                <w:szCs w:val="24"/>
              </w:rPr>
              <w:t xml:space="preserve">Exempt Appendix </w:t>
            </w:r>
            <w:r w:rsidR="007C4A96">
              <w:rPr>
                <w:sz w:val="24"/>
                <w:szCs w:val="24"/>
              </w:rPr>
              <w:t>1</w:t>
            </w:r>
            <w:r>
              <w:rPr>
                <w:sz w:val="24"/>
                <w:szCs w:val="24"/>
              </w:rPr>
              <w:t xml:space="preserve"> </w:t>
            </w:r>
            <w:r w:rsidR="00224B11">
              <w:rPr>
                <w:sz w:val="24"/>
                <w:szCs w:val="24"/>
              </w:rPr>
              <w:t>–</w:t>
            </w:r>
            <w:r>
              <w:rPr>
                <w:sz w:val="24"/>
                <w:szCs w:val="24"/>
              </w:rPr>
              <w:t xml:space="preserve"> </w:t>
            </w:r>
            <w:r w:rsidR="00A503F1">
              <w:rPr>
                <w:sz w:val="24"/>
                <w:szCs w:val="24"/>
              </w:rPr>
              <w:t>T</w:t>
            </w:r>
            <w:r w:rsidR="00E91546">
              <w:rPr>
                <w:sz w:val="24"/>
                <w:szCs w:val="24"/>
              </w:rPr>
              <w:t xml:space="preserve">ender </w:t>
            </w:r>
            <w:r w:rsidR="007C4A96">
              <w:rPr>
                <w:sz w:val="24"/>
                <w:szCs w:val="24"/>
              </w:rPr>
              <w:t>E</w:t>
            </w:r>
            <w:r w:rsidR="00224B11">
              <w:rPr>
                <w:sz w:val="24"/>
                <w:szCs w:val="24"/>
              </w:rPr>
              <w:t xml:space="preserve">valuation </w:t>
            </w:r>
            <w:r w:rsidR="007C4A96">
              <w:rPr>
                <w:sz w:val="24"/>
                <w:szCs w:val="24"/>
              </w:rPr>
              <w:t>M</w:t>
            </w:r>
            <w:r w:rsidR="00224B11">
              <w:rPr>
                <w:sz w:val="24"/>
                <w:szCs w:val="24"/>
              </w:rPr>
              <w:t>ethodology</w:t>
            </w:r>
          </w:p>
          <w:p w14:paraId="45A0883A" w14:textId="4E4E7658" w:rsidR="008176BD" w:rsidRDefault="008176BD" w:rsidP="00654753">
            <w:pPr>
              <w:pStyle w:val="Infotext"/>
              <w:rPr>
                <w:sz w:val="24"/>
                <w:szCs w:val="24"/>
              </w:rPr>
            </w:pPr>
            <w:r>
              <w:rPr>
                <w:sz w:val="24"/>
                <w:szCs w:val="24"/>
              </w:rPr>
              <w:t xml:space="preserve">Exempt Appendix </w:t>
            </w:r>
            <w:r w:rsidR="007C4A96">
              <w:rPr>
                <w:sz w:val="24"/>
                <w:szCs w:val="24"/>
              </w:rPr>
              <w:t>2</w:t>
            </w:r>
            <w:r>
              <w:rPr>
                <w:sz w:val="24"/>
                <w:szCs w:val="24"/>
              </w:rPr>
              <w:t xml:space="preserve"> – </w:t>
            </w:r>
            <w:r w:rsidR="00A503F1">
              <w:rPr>
                <w:sz w:val="24"/>
                <w:szCs w:val="24"/>
              </w:rPr>
              <w:t xml:space="preserve">Tender </w:t>
            </w:r>
            <w:r>
              <w:rPr>
                <w:sz w:val="24"/>
                <w:szCs w:val="24"/>
              </w:rPr>
              <w:t xml:space="preserve">Pricing Schedule </w:t>
            </w:r>
          </w:p>
          <w:p w14:paraId="400AF1E5" w14:textId="4353C602" w:rsidR="008176BD" w:rsidRDefault="008176BD" w:rsidP="00654753">
            <w:pPr>
              <w:pStyle w:val="Infotext"/>
              <w:rPr>
                <w:sz w:val="24"/>
                <w:szCs w:val="24"/>
              </w:rPr>
            </w:pPr>
            <w:r>
              <w:rPr>
                <w:sz w:val="24"/>
                <w:szCs w:val="24"/>
              </w:rPr>
              <w:t xml:space="preserve">Exempt Appendix </w:t>
            </w:r>
            <w:r w:rsidR="007C4A96">
              <w:rPr>
                <w:sz w:val="24"/>
                <w:szCs w:val="24"/>
              </w:rPr>
              <w:t>3</w:t>
            </w:r>
            <w:r>
              <w:rPr>
                <w:sz w:val="24"/>
                <w:szCs w:val="24"/>
              </w:rPr>
              <w:t xml:space="preserve"> – </w:t>
            </w:r>
            <w:r w:rsidR="00A503F1">
              <w:rPr>
                <w:sz w:val="24"/>
                <w:szCs w:val="24"/>
              </w:rPr>
              <w:t>Key Performance Indicators (</w:t>
            </w:r>
            <w:r>
              <w:rPr>
                <w:sz w:val="24"/>
                <w:szCs w:val="24"/>
              </w:rPr>
              <w:t>KPI’s</w:t>
            </w:r>
            <w:r w:rsidR="00A503F1">
              <w:rPr>
                <w:sz w:val="24"/>
                <w:szCs w:val="24"/>
              </w:rPr>
              <w:t>)</w:t>
            </w:r>
            <w:r>
              <w:rPr>
                <w:sz w:val="24"/>
                <w:szCs w:val="24"/>
              </w:rPr>
              <w:t xml:space="preserve"> </w:t>
            </w:r>
          </w:p>
          <w:p w14:paraId="4622D685" w14:textId="58CA476D" w:rsidR="007C4A96" w:rsidRDefault="007C4A96" w:rsidP="007C4A96">
            <w:pPr>
              <w:pStyle w:val="Infotext"/>
              <w:rPr>
                <w:sz w:val="24"/>
                <w:szCs w:val="24"/>
              </w:rPr>
            </w:pPr>
            <w:r>
              <w:rPr>
                <w:sz w:val="24"/>
                <w:szCs w:val="24"/>
              </w:rPr>
              <w:t>Exempt Appendix 4 – Service Specification Revenues and Benefits</w:t>
            </w:r>
          </w:p>
          <w:p w14:paraId="418C74EC" w14:textId="52866E7C" w:rsidR="007C4A96" w:rsidRDefault="007C4A96" w:rsidP="007C4A96">
            <w:pPr>
              <w:pStyle w:val="Infotext"/>
              <w:rPr>
                <w:sz w:val="24"/>
                <w:szCs w:val="24"/>
              </w:rPr>
            </w:pPr>
            <w:r>
              <w:rPr>
                <w:sz w:val="24"/>
                <w:szCs w:val="24"/>
              </w:rPr>
              <w:t xml:space="preserve">Exempt Appendix 5 – Service Specification Housing Benefits Overpayments </w:t>
            </w:r>
          </w:p>
          <w:p w14:paraId="0F540C26" w14:textId="3C0360FA" w:rsidR="008176BD" w:rsidRPr="00EB5628" w:rsidRDefault="008176BD" w:rsidP="00654753">
            <w:pPr>
              <w:pStyle w:val="Infotext"/>
              <w:rPr>
                <w:sz w:val="24"/>
                <w:szCs w:val="24"/>
              </w:rPr>
            </w:pPr>
            <w:r>
              <w:rPr>
                <w:sz w:val="24"/>
                <w:szCs w:val="24"/>
              </w:rPr>
              <w:t xml:space="preserve">Appendix </w:t>
            </w:r>
            <w:r w:rsidR="00A503F1">
              <w:rPr>
                <w:sz w:val="24"/>
                <w:szCs w:val="24"/>
              </w:rPr>
              <w:t>6</w:t>
            </w:r>
            <w:r>
              <w:rPr>
                <w:sz w:val="24"/>
                <w:szCs w:val="24"/>
              </w:rPr>
              <w:t xml:space="preserve"> – Equality Impact Assessment </w:t>
            </w:r>
          </w:p>
        </w:tc>
      </w:tr>
      <w:tr w:rsidR="0044606D" w14:paraId="3055DD75" w14:textId="77777777" w:rsidTr="0044606D">
        <w:tc>
          <w:tcPr>
            <w:tcW w:w="8074" w:type="dxa"/>
            <w:gridSpan w:val="2"/>
          </w:tcPr>
          <w:p w14:paraId="5FC3D2AE" w14:textId="78D20053" w:rsidR="0044606D" w:rsidRPr="00C13A5F" w:rsidRDefault="0044606D" w:rsidP="00B24E6B">
            <w:pPr>
              <w:pStyle w:val="Infotext"/>
              <w:spacing w:after="240"/>
              <w:rPr>
                <w:rFonts w:ascii="Arial Black" w:hAnsi="Arial Black" w:cs="Arial"/>
              </w:rPr>
            </w:pPr>
          </w:p>
        </w:tc>
        <w:tc>
          <w:tcPr>
            <w:tcW w:w="236" w:type="dxa"/>
          </w:tcPr>
          <w:p w14:paraId="7676382C" w14:textId="77777777" w:rsidR="0044606D" w:rsidRPr="00CB01CC" w:rsidRDefault="0044606D" w:rsidP="00B24E6B">
            <w:pPr>
              <w:pStyle w:val="Infotext"/>
              <w:rPr>
                <w:sz w:val="24"/>
                <w:szCs w:val="24"/>
              </w:rPr>
            </w:pPr>
          </w:p>
        </w:tc>
      </w:tr>
    </w:tbl>
    <w:tbl>
      <w:tblPr>
        <w:tblStyle w:val="TableGrid"/>
        <w:tblpPr w:leftFromText="180" w:rightFromText="180" w:horzAnchor="margin" w:tblpY="518"/>
        <w:tblW w:w="0" w:type="auto"/>
        <w:tblLook w:val="04A0" w:firstRow="1" w:lastRow="0" w:firstColumn="1" w:lastColumn="0" w:noHBand="0" w:noVBand="1"/>
        <w:tblCaption w:val="Cabinet report summary details"/>
      </w:tblPr>
      <w:tblGrid>
        <w:gridCol w:w="8879"/>
      </w:tblGrid>
      <w:tr w:rsidR="00654753" w14:paraId="30FCE6D2" w14:textId="77777777" w:rsidTr="00E857F7">
        <w:tc>
          <w:tcPr>
            <w:tcW w:w="8879" w:type="dxa"/>
          </w:tcPr>
          <w:p w14:paraId="13FF638A" w14:textId="4941980E" w:rsidR="00D66480" w:rsidRPr="001A3AD4" w:rsidRDefault="00D66480" w:rsidP="00E857F7">
            <w:pPr>
              <w:pStyle w:val="Heading3"/>
              <w:spacing w:before="240"/>
              <w:ind w:left="37" w:firstLine="0"/>
              <w:jc w:val="left"/>
              <w:rPr>
                <w:sz w:val="24"/>
                <w:szCs w:val="24"/>
              </w:rPr>
            </w:pPr>
            <w:r w:rsidRPr="001A3AD4">
              <w:rPr>
                <w:b w:val="0"/>
                <w:bCs w:val="0"/>
                <w:sz w:val="24"/>
                <w:szCs w:val="24"/>
              </w:rPr>
              <w:lastRenderedPageBreak/>
              <w:t>This report requests authorisation to procure</w:t>
            </w:r>
            <w:r w:rsidRPr="00336DA3">
              <w:rPr>
                <w:b w:val="0"/>
                <w:bCs w:val="0"/>
                <w:sz w:val="24"/>
                <w:szCs w:val="24"/>
              </w:rPr>
              <w:t xml:space="preserve"> and award a </w:t>
            </w:r>
            <w:r>
              <w:rPr>
                <w:b w:val="0"/>
                <w:bCs w:val="0"/>
                <w:sz w:val="24"/>
                <w:szCs w:val="24"/>
              </w:rPr>
              <w:t xml:space="preserve">Resilience </w:t>
            </w:r>
            <w:r w:rsidRPr="00336DA3">
              <w:rPr>
                <w:b w:val="0"/>
                <w:bCs w:val="0"/>
                <w:sz w:val="24"/>
                <w:szCs w:val="24"/>
              </w:rPr>
              <w:t xml:space="preserve">contract </w:t>
            </w:r>
            <w:r>
              <w:rPr>
                <w:b w:val="0"/>
                <w:bCs w:val="0"/>
                <w:sz w:val="24"/>
                <w:szCs w:val="24"/>
              </w:rPr>
              <w:t xml:space="preserve">for Revenues and Housing Benefits Service Delivery Support, having regard to the options appraisal set out within this report. </w:t>
            </w:r>
          </w:p>
          <w:p w14:paraId="479A56CF" w14:textId="77777777" w:rsidR="00D66480" w:rsidRPr="00AE6C5F" w:rsidRDefault="00D66480" w:rsidP="00E857F7">
            <w:pPr>
              <w:pStyle w:val="Heading3"/>
              <w:spacing w:before="120"/>
              <w:jc w:val="left"/>
            </w:pPr>
            <w:r w:rsidRPr="00AE6C5F">
              <w:t xml:space="preserve">Recommendations: </w:t>
            </w:r>
          </w:p>
          <w:p w14:paraId="07012D74" w14:textId="77777777" w:rsidR="00D66480" w:rsidRPr="001A3AD4" w:rsidRDefault="00D66480" w:rsidP="00E857F7">
            <w:pPr>
              <w:rPr>
                <w:rFonts w:ascii="Arial" w:hAnsi="Arial" w:cs="Arial"/>
                <w:sz w:val="24"/>
                <w:szCs w:val="24"/>
              </w:rPr>
            </w:pPr>
            <w:r w:rsidRPr="001A3AD4">
              <w:rPr>
                <w:rFonts w:ascii="Arial" w:hAnsi="Arial" w:cs="Arial"/>
                <w:sz w:val="24"/>
                <w:szCs w:val="24"/>
              </w:rPr>
              <w:t>Cabinet is requested to:</w:t>
            </w:r>
          </w:p>
          <w:p w14:paraId="53395DFB" w14:textId="1C6BDEF3" w:rsidR="00D66480" w:rsidRPr="00CC0041" w:rsidRDefault="00D66480" w:rsidP="00E857F7">
            <w:pPr>
              <w:pStyle w:val="ListParagraph"/>
              <w:numPr>
                <w:ilvl w:val="0"/>
                <w:numId w:val="1"/>
              </w:numPr>
              <w:rPr>
                <w:rFonts w:cs="Arial"/>
                <w:szCs w:val="24"/>
              </w:rPr>
            </w:pPr>
            <w:r w:rsidRPr="00424562">
              <w:rPr>
                <w:rFonts w:cs="Arial"/>
                <w:szCs w:val="24"/>
              </w:rPr>
              <w:t xml:space="preserve">Authorise the procurement of a </w:t>
            </w:r>
            <w:r>
              <w:rPr>
                <w:rFonts w:cs="Arial"/>
                <w:szCs w:val="24"/>
              </w:rPr>
              <w:t>resilience</w:t>
            </w:r>
            <w:r w:rsidRPr="00424562">
              <w:rPr>
                <w:rFonts w:cs="Arial"/>
                <w:szCs w:val="24"/>
              </w:rPr>
              <w:t xml:space="preserve"> contract for Third Party Support for the Revenues and </w:t>
            </w:r>
            <w:r>
              <w:rPr>
                <w:rFonts w:cs="Arial"/>
                <w:szCs w:val="24"/>
              </w:rPr>
              <w:t xml:space="preserve">Housing </w:t>
            </w:r>
            <w:r w:rsidRPr="00424562">
              <w:rPr>
                <w:rFonts w:cs="Arial"/>
                <w:szCs w:val="24"/>
              </w:rPr>
              <w:t xml:space="preserve">Benefits </w:t>
            </w:r>
            <w:r>
              <w:rPr>
                <w:rFonts w:cs="Arial"/>
                <w:szCs w:val="24"/>
              </w:rPr>
              <w:t>Service</w:t>
            </w:r>
            <w:r w:rsidR="008176BD">
              <w:rPr>
                <w:rFonts w:cs="Arial"/>
                <w:szCs w:val="24"/>
              </w:rPr>
              <w:t xml:space="preserve"> for an initial term of five years with options to extend for a further three years and then a further one year and </w:t>
            </w:r>
            <w:r w:rsidR="008176BD" w:rsidRPr="00CC0041">
              <w:rPr>
                <w:rFonts w:cs="Arial"/>
                <w:szCs w:val="24"/>
              </w:rPr>
              <w:t>a</w:t>
            </w:r>
            <w:r w:rsidR="00BC4AF5" w:rsidRPr="00CC0041">
              <w:rPr>
                <w:rFonts w:cs="Arial"/>
                <w:szCs w:val="24"/>
              </w:rPr>
              <w:t>n estimated procurement</w:t>
            </w:r>
            <w:r w:rsidR="008176BD" w:rsidRPr="00CC0041">
              <w:rPr>
                <w:rFonts w:cs="Arial"/>
                <w:szCs w:val="24"/>
              </w:rPr>
              <w:t xml:space="preserve"> total value of £9.2</w:t>
            </w:r>
            <w:r w:rsidR="00572973" w:rsidRPr="00CC0041">
              <w:rPr>
                <w:rFonts w:cs="Arial"/>
                <w:szCs w:val="24"/>
              </w:rPr>
              <w:t xml:space="preserve">m, including £2.25m of extra headroom to cater for </w:t>
            </w:r>
            <w:r w:rsidR="00D42172" w:rsidRPr="00CC0041">
              <w:rPr>
                <w:rFonts w:cs="Arial"/>
                <w:szCs w:val="24"/>
              </w:rPr>
              <w:t xml:space="preserve">potential </w:t>
            </w:r>
            <w:r w:rsidR="00572973" w:rsidRPr="00CC0041">
              <w:rPr>
                <w:rFonts w:cs="Arial"/>
                <w:szCs w:val="24"/>
              </w:rPr>
              <w:t>additional work deriving from DWP initiatives</w:t>
            </w:r>
            <w:r w:rsidR="00D42172" w:rsidRPr="00CC0041">
              <w:rPr>
                <w:rFonts w:cs="Arial"/>
                <w:szCs w:val="24"/>
              </w:rPr>
              <w:t>.</w:t>
            </w:r>
            <w:r w:rsidRPr="00CC0041">
              <w:rPr>
                <w:rFonts w:cs="Arial"/>
                <w:szCs w:val="24"/>
              </w:rPr>
              <w:t xml:space="preserve">  </w:t>
            </w:r>
          </w:p>
          <w:p w14:paraId="5AD751C8" w14:textId="489BC24B" w:rsidR="00D66480" w:rsidRPr="00424562" w:rsidRDefault="00D66480" w:rsidP="00E857F7">
            <w:pPr>
              <w:pStyle w:val="ListParagraph"/>
              <w:numPr>
                <w:ilvl w:val="0"/>
                <w:numId w:val="1"/>
              </w:numPr>
              <w:rPr>
                <w:rFonts w:cs="Arial"/>
                <w:szCs w:val="24"/>
              </w:rPr>
            </w:pPr>
            <w:r w:rsidRPr="00424562">
              <w:rPr>
                <w:rFonts w:cs="Arial"/>
                <w:szCs w:val="24"/>
              </w:rPr>
              <w:t xml:space="preserve">Approve the draft </w:t>
            </w:r>
            <w:r w:rsidR="00E91546">
              <w:rPr>
                <w:rFonts w:cs="Arial"/>
                <w:szCs w:val="24"/>
              </w:rPr>
              <w:t>tender</w:t>
            </w:r>
            <w:r w:rsidR="00CF2662">
              <w:rPr>
                <w:rFonts w:cs="Arial"/>
                <w:szCs w:val="24"/>
              </w:rPr>
              <w:t xml:space="preserve"> </w:t>
            </w:r>
            <w:r w:rsidRPr="00424562">
              <w:rPr>
                <w:rFonts w:cs="Arial"/>
                <w:szCs w:val="24"/>
              </w:rPr>
              <w:t>documents.</w:t>
            </w:r>
          </w:p>
          <w:p w14:paraId="11693934" w14:textId="6927FD42" w:rsidR="00D66480" w:rsidRPr="00424562" w:rsidRDefault="00D66480" w:rsidP="00E857F7">
            <w:pPr>
              <w:pStyle w:val="ListParagraph"/>
              <w:numPr>
                <w:ilvl w:val="0"/>
                <w:numId w:val="1"/>
              </w:numPr>
              <w:rPr>
                <w:color w:val="000000" w:themeColor="text1"/>
              </w:rPr>
            </w:pPr>
            <w:r w:rsidRPr="00424562">
              <w:rPr>
                <w:color w:val="000000" w:themeColor="text1"/>
              </w:rPr>
              <w:t xml:space="preserve">Delegate authority to the Section 151 Officer </w:t>
            </w:r>
            <w:r w:rsidRPr="00424562">
              <w:t>following consultation with the Portfolio Holder for Finance and Human Resources, to</w:t>
            </w:r>
            <w:r w:rsidRPr="00424562">
              <w:rPr>
                <w:color w:val="000000" w:themeColor="text1"/>
              </w:rPr>
              <w:t xml:space="preserve"> make any necessary changes to the </w:t>
            </w:r>
            <w:r w:rsidR="000E4381">
              <w:rPr>
                <w:color w:val="000000" w:themeColor="text1"/>
              </w:rPr>
              <w:t>tender</w:t>
            </w:r>
            <w:r w:rsidR="00CF2662">
              <w:rPr>
                <w:color w:val="000000" w:themeColor="text1"/>
              </w:rPr>
              <w:t xml:space="preserve"> </w:t>
            </w:r>
            <w:r w:rsidRPr="00424562">
              <w:rPr>
                <w:color w:val="000000" w:themeColor="text1"/>
              </w:rPr>
              <w:t>documents following approval.</w:t>
            </w:r>
          </w:p>
          <w:p w14:paraId="0CC447AD" w14:textId="3C97C984" w:rsidR="00D66480" w:rsidRPr="00182C4B" w:rsidRDefault="00D66480" w:rsidP="00E857F7">
            <w:pPr>
              <w:pStyle w:val="ListParagraph"/>
              <w:numPr>
                <w:ilvl w:val="0"/>
                <w:numId w:val="1"/>
              </w:numPr>
              <w:rPr>
                <w:rFonts w:cs="Arial"/>
                <w:szCs w:val="24"/>
              </w:rPr>
            </w:pPr>
            <w:r w:rsidRPr="00182C4B">
              <w:rPr>
                <w:color w:val="000000" w:themeColor="text1"/>
              </w:rPr>
              <w:t>D</w:t>
            </w:r>
            <w:r w:rsidRPr="00424562">
              <w:t xml:space="preserve">elegate authority to the Section 151 Officer </w:t>
            </w:r>
            <w:r w:rsidR="00E857F7">
              <w:t>following</w:t>
            </w:r>
            <w:r w:rsidRPr="00424562">
              <w:t xml:space="preserve"> consultation with the Portfolio Holder for Finance and Human Resources, to award the new contract to the successful bidder. </w:t>
            </w:r>
          </w:p>
          <w:p w14:paraId="60FE6BC5" w14:textId="77777777" w:rsidR="00D66480" w:rsidRDefault="00D66480" w:rsidP="00E857F7">
            <w:pPr>
              <w:pStyle w:val="Heading3"/>
              <w:spacing w:before="240"/>
              <w:jc w:val="left"/>
            </w:pPr>
            <w:r w:rsidRPr="00AE6C5F">
              <w:t xml:space="preserve">Reason: (for recommendations)  </w:t>
            </w:r>
          </w:p>
          <w:p w14:paraId="1B79600D" w14:textId="77777777" w:rsidR="00D66480" w:rsidRDefault="00D66480" w:rsidP="00E857F7">
            <w:pPr>
              <w:rPr>
                <w:rFonts w:ascii="Arial" w:hAnsi="Arial" w:cs="Arial"/>
                <w:sz w:val="24"/>
                <w:szCs w:val="24"/>
              </w:rPr>
            </w:pPr>
            <w:r w:rsidRPr="00182C4B">
              <w:rPr>
                <w:rFonts w:ascii="Arial" w:hAnsi="Arial" w:cs="Arial"/>
                <w:sz w:val="24"/>
                <w:szCs w:val="24"/>
              </w:rPr>
              <w:t>The Revenues and Benefits Service is responsible for the annual collection of £2</w:t>
            </w:r>
            <w:r>
              <w:rPr>
                <w:rFonts w:ascii="Arial" w:hAnsi="Arial" w:cs="Arial"/>
                <w:sz w:val="24"/>
                <w:szCs w:val="24"/>
              </w:rPr>
              <w:t>10m</w:t>
            </w:r>
            <w:r w:rsidRPr="00182C4B">
              <w:rPr>
                <w:rFonts w:ascii="Arial" w:hAnsi="Arial" w:cs="Arial"/>
                <w:sz w:val="24"/>
                <w:szCs w:val="24"/>
              </w:rPr>
              <w:t xml:space="preserve"> Council Tax, £</w:t>
            </w:r>
            <w:r>
              <w:rPr>
                <w:rFonts w:ascii="Arial" w:hAnsi="Arial" w:cs="Arial"/>
                <w:sz w:val="24"/>
                <w:szCs w:val="24"/>
              </w:rPr>
              <w:t>50m</w:t>
            </w:r>
            <w:r w:rsidRPr="00182C4B">
              <w:rPr>
                <w:rFonts w:ascii="Arial" w:hAnsi="Arial" w:cs="Arial"/>
                <w:sz w:val="24"/>
                <w:szCs w:val="24"/>
              </w:rPr>
              <w:t xml:space="preserve"> Business Rates, £</w:t>
            </w:r>
            <w:r>
              <w:rPr>
                <w:rFonts w:ascii="Arial" w:hAnsi="Arial" w:cs="Arial"/>
                <w:sz w:val="24"/>
                <w:szCs w:val="24"/>
              </w:rPr>
              <w:t>13m</w:t>
            </w:r>
            <w:r w:rsidRPr="00182C4B">
              <w:rPr>
                <w:rFonts w:ascii="Arial" w:hAnsi="Arial" w:cs="Arial"/>
                <w:sz w:val="24"/>
                <w:szCs w:val="24"/>
              </w:rPr>
              <w:t xml:space="preserve"> Housing Benefit Overpayments, the payment of </w:t>
            </w:r>
            <w:r w:rsidRPr="00E3014A">
              <w:rPr>
                <w:rFonts w:ascii="Arial" w:hAnsi="Arial" w:cs="Arial"/>
                <w:sz w:val="24"/>
                <w:szCs w:val="24"/>
              </w:rPr>
              <w:t>£90m</w:t>
            </w:r>
            <w:r w:rsidRPr="00182C4B">
              <w:rPr>
                <w:rFonts w:ascii="Arial" w:hAnsi="Arial" w:cs="Arial"/>
                <w:sz w:val="24"/>
                <w:szCs w:val="24"/>
              </w:rPr>
              <w:t xml:space="preserve"> Housing Benefit and £19</w:t>
            </w:r>
            <w:r>
              <w:rPr>
                <w:rFonts w:ascii="Arial" w:hAnsi="Arial" w:cs="Arial"/>
                <w:sz w:val="24"/>
                <w:szCs w:val="24"/>
              </w:rPr>
              <w:t>m</w:t>
            </w:r>
            <w:r w:rsidRPr="00182C4B">
              <w:rPr>
                <w:rFonts w:ascii="Arial" w:hAnsi="Arial" w:cs="Arial"/>
                <w:sz w:val="24"/>
                <w:szCs w:val="24"/>
              </w:rPr>
              <w:t xml:space="preserve"> </w:t>
            </w:r>
            <w:r>
              <w:rPr>
                <w:rFonts w:ascii="Arial" w:hAnsi="Arial" w:cs="Arial"/>
                <w:sz w:val="24"/>
                <w:szCs w:val="24"/>
              </w:rPr>
              <w:t xml:space="preserve">in </w:t>
            </w:r>
            <w:r w:rsidRPr="00182C4B">
              <w:rPr>
                <w:rFonts w:ascii="Arial" w:hAnsi="Arial" w:cs="Arial"/>
                <w:sz w:val="24"/>
                <w:szCs w:val="24"/>
              </w:rPr>
              <w:t xml:space="preserve">Council Tax Support.  </w:t>
            </w:r>
          </w:p>
          <w:p w14:paraId="763F6F80" w14:textId="77777777" w:rsidR="00EA4FCA" w:rsidRDefault="00EA4FCA" w:rsidP="00E857F7">
            <w:pPr>
              <w:rPr>
                <w:rFonts w:ascii="Arial" w:hAnsi="Arial" w:cs="Arial"/>
                <w:sz w:val="24"/>
                <w:szCs w:val="24"/>
              </w:rPr>
            </w:pPr>
          </w:p>
          <w:p w14:paraId="1A669363" w14:textId="77777777" w:rsidR="00D66480" w:rsidRPr="00182C4B" w:rsidRDefault="00D66480" w:rsidP="00E857F7">
            <w:pPr>
              <w:rPr>
                <w:rFonts w:ascii="Arial" w:hAnsi="Arial" w:cs="Arial"/>
                <w:sz w:val="24"/>
                <w:szCs w:val="24"/>
              </w:rPr>
            </w:pPr>
            <w:r w:rsidRPr="00182C4B">
              <w:rPr>
                <w:rFonts w:ascii="Arial" w:hAnsi="Arial" w:cs="Arial"/>
                <w:sz w:val="24"/>
                <w:szCs w:val="24"/>
              </w:rPr>
              <w:t xml:space="preserve">The services concerned are of significant importance to the financing and delivery of London Borough of Harrow services and impact upon most households and businesses within the Borough.  Customer perception of the Authority may often be influenced by customer experiences of those services.  Consequently, the processing timescale and accuracy of work performed for the services in scope, is likely to shape customer perception of the organisation and the extent to which the core value of “putting residents first” is achieved. </w:t>
            </w:r>
          </w:p>
          <w:p w14:paraId="6C310D6F" w14:textId="77777777" w:rsidR="00D66480" w:rsidRDefault="00D66480" w:rsidP="00E857F7">
            <w:pPr>
              <w:rPr>
                <w:rFonts w:ascii="Arial" w:hAnsi="Arial" w:cs="Arial"/>
                <w:sz w:val="24"/>
                <w:szCs w:val="24"/>
              </w:rPr>
            </w:pPr>
            <w:r w:rsidRPr="00182C4B">
              <w:rPr>
                <w:rFonts w:ascii="Arial" w:hAnsi="Arial" w:cs="Arial"/>
                <w:sz w:val="24"/>
                <w:szCs w:val="24"/>
              </w:rPr>
              <w:t xml:space="preserve">Activities for the services in scope are currently performed by </w:t>
            </w:r>
            <w:r>
              <w:rPr>
                <w:rFonts w:ascii="Arial" w:hAnsi="Arial" w:cs="Arial"/>
                <w:sz w:val="24"/>
                <w:szCs w:val="24"/>
              </w:rPr>
              <w:t xml:space="preserve">the </w:t>
            </w:r>
            <w:r w:rsidRPr="00182C4B">
              <w:rPr>
                <w:rFonts w:ascii="Arial" w:hAnsi="Arial" w:cs="Arial"/>
                <w:sz w:val="24"/>
                <w:szCs w:val="24"/>
              </w:rPr>
              <w:t>London Borough of Harrow and Capita Business Services Ltd under a contractual agreement that will expire on 31</w:t>
            </w:r>
            <w:r w:rsidRPr="00182C4B">
              <w:rPr>
                <w:rFonts w:ascii="Arial" w:hAnsi="Arial" w:cs="Arial"/>
                <w:sz w:val="24"/>
                <w:szCs w:val="24"/>
                <w:vertAlign w:val="superscript"/>
              </w:rPr>
              <w:t>st</w:t>
            </w:r>
            <w:r w:rsidRPr="00182C4B">
              <w:rPr>
                <w:rFonts w:ascii="Arial" w:hAnsi="Arial" w:cs="Arial"/>
                <w:sz w:val="24"/>
                <w:szCs w:val="24"/>
              </w:rPr>
              <w:t xml:space="preserve"> March 2025.  Consequently, there is a need to determine and agree how the services concerned should be delivered beyond that time, to facilitate effective planning and resourcing of them. </w:t>
            </w:r>
          </w:p>
          <w:p w14:paraId="387C5E96" w14:textId="77777777" w:rsidR="00EA4FCA" w:rsidRPr="00182C4B" w:rsidRDefault="00EA4FCA" w:rsidP="00E857F7">
            <w:pPr>
              <w:rPr>
                <w:rFonts w:ascii="Arial" w:hAnsi="Arial" w:cs="Arial"/>
                <w:sz w:val="24"/>
                <w:szCs w:val="24"/>
              </w:rPr>
            </w:pPr>
          </w:p>
          <w:p w14:paraId="30DD5EAD" w14:textId="77777777" w:rsidR="00D66480" w:rsidRDefault="00D66480" w:rsidP="00E857F7">
            <w:pPr>
              <w:pStyle w:val="Heading3"/>
              <w:ind w:left="0" w:firstLine="0"/>
              <w:jc w:val="left"/>
              <w:rPr>
                <w:rFonts w:cs="Times New Roman"/>
                <w:b w:val="0"/>
                <w:bCs w:val="0"/>
                <w:sz w:val="24"/>
                <w:szCs w:val="24"/>
              </w:rPr>
            </w:pPr>
            <w:r w:rsidRPr="00182C4B">
              <w:rPr>
                <w:rFonts w:cs="Times New Roman"/>
                <w:b w:val="0"/>
                <w:bCs w:val="0"/>
                <w:sz w:val="24"/>
                <w:szCs w:val="24"/>
              </w:rPr>
              <w:t>Not procuring an external partner, would potentially leave London Borough of Harrow with limited capability to process work in relation to the above services and which in turn would affect collections and payments and impact adversely on the Council’s budget</w:t>
            </w:r>
            <w:r>
              <w:rPr>
                <w:rFonts w:cs="Times New Roman"/>
                <w:b w:val="0"/>
                <w:bCs w:val="0"/>
                <w:sz w:val="24"/>
                <w:szCs w:val="24"/>
              </w:rPr>
              <w:t xml:space="preserve">, ability to pay and provide services and its residents and business rate payers. </w:t>
            </w:r>
          </w:p>
          <w:p w14:paraId="0216E4B1" w14:textId="77777777" w:rsidR="00EA4FCA" w:rsidRPr="00EA4FCA" w:rsidRDefault="00EA4FCA" w:rsidP="00EA4FCA"/>
          <w:p w14:paraId="13013938" w14:textId="476B419B" w:rsidR="00654753" w:rsidRDefault="00D66480" w:rsidP="00E857F7">
            <w:pPr>
              <w:pStyle w:val="ListParagraph"/>
              <w:ind w:left="0"/>
              <w:rPr>
                <w:rFonts w:cs="Arial"/>
                <w:b/>
                <w:bCs/>
                <w:sz w:val="28"/>
                <w:szCs w:val="28"/>
              </w:rPr>
            </w:pPr>
            <w:r w:rsidRPr="00182C4B">
              <w:rPr>
                <w:szCs w:val="24"/>
              </w:rPr>
              <w:t xml:space="preserve">Cabinet authorisation of the proposed procurement is required to comply with the Council’s Contract Procedure Rules.   </w:t>
            </w:r>
          </w:p>
        </w:tc>
      </w:tr>
    </w:tbl>
    <w:p w14:paraId="29CE454E" w14:textId="69459015" w:rsidR="00E857F7" w:rsidRPr="00E857F7" w:rsidRDefault="00E857F7" w:rsidP="00E857F7">
      <w:pPr>
        <w:jc w:val="both"/>
        <w:rPr>
          <w:rFonts w:cs="Arial"/>
          <w:b/>
          <w:bCs/>
          <w:sz w:val="36"/>
          <w:szCs w:val="36"/>
        </w:rPr>
      </w:pPr>
      <w:r w:rsidRPr="00E857F7">
        <w:rPr>
          <w:rFonts w:ascii="Arial Black" w:hAnsi="Arial Black" w:cs="Arial"/>
          <w:sz w:val="28"/>
          <w:szCs w:val="28"/>
        </w:rPr>
        <w:t>Section 1 – Summary and Recommendations</w:t>
      </w:r>
    </w:p>
    <w:p w14:paraId="5DFE924B" w14:textId="2B6D9546" w:rsidR="00E857F7" w:rsidRPr="00EA4FCA" w:rsidRDefault="003B3B1F" w:rsidP="00EA4FCA">
      <w:pPr>
        <w:jc w:val="both"/>
        <w:rPr>
          <w:rFonts w:cs="Arial"/>
          <w:b/>
          <w:bCs/>
          <w:sz w:val="28"/>
          <w:szCs w:val="28"/>
        </w:rPr>
      </w:pPr>
      <w:r w:rsidRPr="00EA4FCA">
        <w:rPr>
          <w:rFonts w:cs="Arial"/>
          <w:b/>
          <w:bCs/>
          <w:sz w:val="28"/>
          <w:szCs w:val="28"/>
        </w:rPr>
        <w:t xml:space="preserve">  </w:t>
      </w:r>
    </w:p>
    <w:p w14:paraId="1DDA5BC3" w14:textId="5415A8EE" w:rsidR="00F53496" w:rsidRPr="003B3B1F" w:rsidRDefault="00F53496" w:rsidP="00EA4FCA">
      <w:pPr>
        <w:pStyle w:val="ListParagraph"/>
        <w:numPr>
          <w:ilvl w:val="0"/>
          <w:numId w:val="7"/>
        </w:numPr>
        <w:rPr>
          <w:rFonts w:cs="Arial"/>
          <w:b/>
          <w:bCs/>
          <w:sz w:val="28"/>
          <w:szCs w:val="28"/>
        </w:rPr>
      </w:pPr>
      <w:r w:rsidRPr="003B3B1F">
        <w:rPr>
          <w:rFonts w:cs="Arial"/>
          <w:b/>
          <w:bCs/>
          <w:sz w:val="28"/>
          <w:szCs w:val="28"/>
        </w:rPr>
        <w:lastRenderedPageBreak/>
        <w:t>Introduction</w:t>
      </w:r>
    </w:p>
    <w:p w14:paraId="1E135C00" w14:textId="1D04499A" w:rsidR="00B636FE" w:rsidRPr="00B92CC6" w:rsidRDefault="003B3B1F" w:rsidP="00EA4FCA">
      <w:pPr>
        <w:tabs>
          <w:tab w:val="left" w:pos="709"/>
        </w:tabs>
        <w:ind w:left="709" w:hanging="709"/>
        <w:rPr>
          <w:rFonts w:ascii="Arial" w:hAnsi="Arial" w:cs="Arial"/>
          <w:sz w:val="24"/>
          <w:szCs w:val="24"/>
        </w:rPr>
      </w:pPr>
      <w:r>
        <w:rPr>
          <w:rFonts w:ascii="Arial" w:hAnsi="Arial" w:cs="Arial"/>
          <w:sz w:val="24"/>
          <w:szCs w:val="24"/>
        </w:rPr>
        <w:tab/>
      </w:r>
      <w:r w:rsidR="00B72782" w:rsidRPr="00342006">
        <w:rPr>
          <w:rFonts w:ascii="Arial" w:hAnsi="Arial" w:cs="Arial"/>
          <w:sz w:val="24"/>
          <w:szCs w:val="24"/>
        </w:rPr>
        <w:t xml:space="preserve">This report considers and evaluates options for delivery of the </w:t>
      </w:r>
      <w:r w:rsidR="00BE3B9A" w:rsidRPr="00342006">
        <w:rPr>
          <w:rFonts w:ascii="Arial" w:hAnsi="Arial" w:cs="Arial"/>
          <w:sz w:val="24"/>
          <w:szCs w:val="24"/>
        </w:rPr>
        <w:t>Council Tax, Benefits</w:t>
      </w:r>
      <w:r w:rsidR="004849CD" w:rsidRPr="00342006">
        <w:rPr>
          <w:rFonts w:ascii="Arial" w:hAnsi="Arial" w:cs="Arial"/>
          <w:sz w:val="24"/>
          <w:szCs w:val="24"/>
        </w:rPr>
        <w:t>,</w:t>
      </w:r>
      <w:r>
        <w:rPr>
          <w:rFonts w:ascii="Arial" w:hAnsi="Arial" w:cs="Arial"/>
          <w:sz w:val="24"/>
          <w:szCs w:val="24"/>
        </w:rPr>
        <w:t xml:space="preserve"> </w:t>
      </w:r>
      <w:r w:rsidR="004849CD" w:rsidRPr="00342006">
        <w:rPr>
          <w:rFonts w:ascii="Arial" w:hAnsi="Arial" w:cs="Arial"/>
          <w:sz w:val="24"/>
          <w:szCs w:val="24"/>
        </w:rPr>
        <w:t xml:space="preserve">Housing Benefit Overpayments </w:t>
      </w:r>
      <w:r w:rsidR="00BE3B9A" w:rsidRPr="00342006">
        <w:rPr>
          <w:rFonts w:ascii="Arial" w:hAnsi="Arial" w:cs="Arial"/>
          <w:sz w:val="24"/>
          <w:szCs w:val="24"/>
        </w:rPr>
        <w:t xml:space="preserve">and Business Rates Services </w:t>
      </w:r>
      <w:r w:rsidR="00B72782" w:rsidRPr="00342006">
        <w:rPr>
          <w:rFonts w:ascii="Arial" w:hAnsi="Arial" w:cs="Arial"/>
          <w:sz w:val="24"/>
          <w:szCs w:val="24"/>
        </w:rPr>
        <w:t xml:space="preserve">when the existing contractual arrangements with Capita Business Services Ltd (“Capita”) </w:t>
      </w:r>
      <w:r w:rsidR="00ED744A" w:rsidRPr="00342006">
        <w:rPr>
          <w:rFonts w:ascii="Arial" w:hAnsi="Arial" w:cs="Arial"/>
          <w:sz w:val="24"/>
          <w:szCs w:val="24"/>
        </w:rPr>
        <w:t xml:space="preserve">cease </w:t>
      </w:r>
      <w:r w:rsidR="00B72782" w:rsidRPr="00342006">
        <w:rPr>
          <w:rFonts w:ascii="Arial" w:hAnsi="Arial" w:cs="Arial"/>
          <w:sz w:val="24"/>
          <w:szCs w:val="24"/>
        </w:rPr>
        <w:t xml:space="preserve">on </w:t>
      </w:r>
      <w:r w:rsidR="00BE3B9A" w:rsidRPr="00342006">
        <w:rPr>
          <w:rFonts w:ascii="Arial" w:hAnsi="Arial" w:cs="Arial"/>
          <w:sz w:val="24"/>
          <w:szCs w:val="24"/>
        </w:rPr>
        <w:t>31</w:t>
      </w:r>
      <w:r w:rsidR="00BE3B9A" w:rsidRPr="00342006">
        <w:rPr>
          <w:rFonts w:ascii="Arial" w:hAnsi="Arial" w:cs="Arial"/>
          <w:sz w:val="24"/>
          <w:szCs w:val="24"/>
          <w:vertAlign w:val="superscript"/>
        </w:rPr>
        <w:t>st</w:t>
      </w:r>
      <w:r w:rsidR="00BE3B9A" w:rsidRPr="00342006">
        <w:rPr>
          <w:rFonts w:ascii="Arial" w:hAnsi="Arial" w:cs="Arial"/>
          <w:sz w:val="24"/>
          <w:szCs w:val="24"/>
        </w:rPr>
        <w:t xml:space="preserve"> March 2025 and makes recommendations accordingly.</w:t>
      </w:r>
      <w:r w:rsidR="009B1B45" w:rsidRPr="00B92CC6">
        <w:rPr>
          <w:rFonts w:ascii="Arial" w:hAnsi="Arial" w:cs="Arial"/>
          <w:sz w:val="24"/>
          <w:szCs w:val="24"/>
        </w:rPr>
        <w:t xml:space="preserve">  </w:t>
      </w:r>
    </w:p>
    <w:p w14:paraId="1A939BAC" w14:textId="1A5DCF56" w:rsidR="00BE3B9A" w:rsidRPr="00B92CC6" w:rsidRDefault="003B3B1F" w:rsidP="00EA4FCA">
      <w:pPr>
        <w:tabs>
          <w:tab w:val="left" w:pos="709"/>
        </w:tabs>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9B1B45" w:rsidRPr="00B92CC6">
        <w:rPr>
          <w:rFonts w:ascii="Arial" w:hAnsi="Arial" w:cs="Arial"/>
          <w:sz w:val="24"/>
          <w:szCs w:val="24"/>
        </w:rPr>
        <w:t xml:space="preserve">There is no further contractual provision for extension when the existing agreement expires and therefore a decision needs to be taken in sufficient time to implement the preferred option </w:t>
      </w:r>
      <w:r w:rsidR="00342006">
        <w:rPr>
          <w:rFonts w:ascii="Arial" w:hAnsi="Arial" w:cs="Arial"/>
          <w:sz w:val="24"/>
          <w:szCs w:val="24"/>
        </w:rPr>
        <w:t xml:space="preserve">to ensure a </w:t>
      </w:r>
      <w:r w:rsidR="00F53496">
        <w:rPr>
          <w:rFonts w:ascii="Arial" w:hAnsi="Arial" w:cs="Arial"/>
          <w:sz w:val="24"/>
          <w:szCs w:val="24"/>
        </w:rPr>
        <w:t xml:space="preserve">seamless </w:t>
      </w:r>
      <w:r w:rsidR="009B1B45" w:rsidRPr="00B92CC6">
        <w:rPr>
          <w:rFonts w:ascii="Arial" w:hAnsi="Arial" w:cs="Arial"/>
          <w:sz w:val="24"/>
          <w:szCs w:val="24"/>
        </w:rPr>
        <w:t>delivery</w:t>
      </w:r>
      <w:r w:rsidR="00F53496">
        <w:rPr>
          <w:rFonts w:ascii="Arial" w:hAnsi="Arial" w:cs="Arial"/>
          <w:sz w:val="24"/>
          <w:szCs w:val="24"/>
        </w:rPr>
        <w:t xml:space="preserve"> of the services in scope</w:t>
      </w:r>
      <w:r w:rsidR="009B1B45" w:rsidRPr="00B92CC6">
        <w:rPr>
          <w:rFonts w:ascii="Arial" w:hAnsi="Arial" w:cs="Arial"/>
          <w:sz w:val="24"/>
          <w:szCs w:val="24"/>
        </w:rPr>
        <w:t xml:space="preserve">. </w:t>
      </w:r>
      <w:r w:rsidR="00BE3B9A" w:rsidRPr="00B92CC6">
        <w:rPr>
          <w:rFonts w:ascii="Arial" w:hAnsi="Arial" w:cs="Arial"/>
          <w:sz w:val="24"/>
          <w:szCs w:val="24"/>
        </w:rPr>
        <w:t xml:space="preserve">    </w:t>
      </w:r>
    </w:p>
    <w:p w14:paraId="435DE612" w14:textId="3482EE7A" w:rsidR="00016F1F" w:rsidRDefault="00016F1F" w:rsidP="00EA4FCA">
      <w:pPr>
        <w:tabs>
          <w:tab w:val="left" w:pos="709"/>
        </w:tabs>
        <w:ind w:left="709" w:hanging="709"/>
        <w:rPr>
          <w:rFonts w:ascii="Arial" w:hAnsi="Arial" w:cs="Arial"/>
          <w:sz w:val="24"/>
          <w:szCs w:val="24"/>
        </w:rPr>
      </w:pPr>
      <w:r w:rsidRPr="00F53496">
        <w:rPr>
          <w:rFonts w:ascii="Arial" w:hAnsi="Arial" w:cs="Arial"/>
          <w:sz w:val="24"/>
          <w:szCs w:val="24"/>
        </w:rPr>
        <w:t>1.</w:t>
      </w:r>
      <w:r w:rsidR="003B3B1F">
        <w:rPr>
          <w:rFonts w:ascii="Arial" w:hAnsi="Arial" w:cs="Arial"/>
          <w:sz w:val="24"/>
          <w:szCs w:val="24"/>
        </w:rPr>
        <w:t>2</w:t>
      </w:r>
      <w:r w:rsidR="00ED744A">
        <w:rPr>
          <w:rFonts w:ascii="Arial" w:hAnsi="Arial" w:cs="Arial"/>
          <w:sz w:val="24"/>
          <w:szCs w:val="24"/>
        </w:rPr>
        <w:tab/>
      </w:r>
      <w:r w:rsidR="00342006">
        <w:rPr>
          <w:rFonts w:ascii="Arial" w:hAnsi="Arial" w:cs="Arial"/>
          <w:sz w:val="24"/>
          <w:szCs w:val="24"/>
        </w:rPr>
        <w:t xml:space="preserve">A lead in time of </w:t>
      </w:r>
      <w:r w:rsidRPr="00F53496">
        <w:rPr>
          <w:rFonts w:ascii="Arial" w:hAnsi="Arial" w:cs="Arial"/>
          <w:sz w:val="24"/>
          <w:szCs w:val="24"/>
        </w:rPr>
        <w:t>up to 12 months</w:t>
      </w:r>
      <w:r w:rsidR="00342006">
        <w:rPr>
          <w:rFonts w:ascii="Arial" w:hAnsi="Arial" w:cs="Arial"/>
          <w:sz w:val="24"/>
          <w:szCs w:val="24"/>
        </w:rPr>
        <w:t xml:space="preserve"> is required to implement the agreed option and to ensure service continuity.  </w:t>
      </w:r>
      <w:r w:rsidRPr="00F53496">
        <w:rPr>
          <w:rFonts w:ascii="Arial" w:hAnsi="Arial" w:cs="Arial"/>
          <w:sz w:val="24"/>
          <w:szCs w:val="24"/>
        </w:rPr>
        <w:t xml:space="preserve">An options appraisal has </w:t>
      </w:r>
      <w:r w:rsidR="004849CD">
        <w:rPr>
          <w:rFonts w:ascii="Arial" w:hAnsi="Arial" w:cs="Arial"/>
          <w:sz w:val="24"/>
          <w:szCs w:val="24"/>
        </w:rPr>
        <w:t xml:space="preserve">therefore </w:t>
      </w:r>
      <w:r w:rsidRPr="00F53496">
        <w:rPr>
          <w:rFonts w:ascii="Arial" w:hAnsi="Arial" w:cs="Arial"/>
          <w:sz w:val="24"/>
          <w:szCs w:val="24"/>
        </w:rPr>
        <w:t xml:space="preserve">been undertaken to evaluate the relative merits of future service delivery models </w:t>
      </w:r>
      <w:r w:rsidR="004849CD">
        <w:rPr>
          <w:rFonts w:ascii="Arial" w:hAnsi="Arial" w:cs="Arial"/>
          <w:sz w:val="24"/>
          <w:szCs w:val="24"/>
        </w:rPr>
        <w:t xml:space="preserve">including </w:t>
      </w:r>
      <w:r w:rsidRPr="00F53496">
        <w:rPr>
          <w:rFonts w:ascii="Arial" w:hAnsi="Arial" w:cs="Arial"/>
          <w:sz w:val="24"/>
          <w:szCs w:val="24"/>
        </w:rPr>
        <w:t>in house, shared service and a retender of similar arrangements.</w:t>
      </w:r>
      <w:r w:rsidRPr="00B92CC6">
        <w:rPr>
          <w:rFonts w:ascii="Arial" w:hAnsi="Arial" w:cs="Arial"/>
          <w:sz w:val="24"/>
          <w:szCs w:val="24"/>
        </w:rPr>
        <w:t xml:space="preserve"> </w:t>
      </w:r>
    </w:p>
    <w:p w14:paraId="73016E39" w14:textId="505FA0D3" w:rsidR="004849CD" w:rsidRDefault="00F53496" w:rsidP="00EA4FCA">
      <w:pPr>
        <w:tabs>
          <w:tab w:val="left" w:pos="709"/>
        </w:tabs>
        <w:ind w:left="709" w:hanging="709"/>
        <w:rPr>
          <w:rFonts w:ascii="Arial" w:hAnsi="Arial" w:cs="Arial"/>
          <w:sz w:val="24"/>
          <w:szCs w:val="24"/>
        </w:rPr>
      </w:pPr>
      <w:r>
        <w:rPr>
          <w:rFonts w:ascii="Arial" w:hAnsi="Arial" w:cs="Arial"/>
          <w:sz w:val="24"/>
          <w:szCs w:val="24"/>
        </w:rPr>
        <w:t>1.</w:t>
      </w:r>
      <w:r w:rsidR="003B3B1F">
        <w:rPr>
          <w:rFonts w:ascii="Arial" w:hAnsi="Arial" w:cs="Arial"/>
          <w:sz w:val="24"/>
          <w:szCs w:val="24"/>
        </w:rPr>
        <w:t>3</w:t>
      </w:r>
      <w:r>
        <w:rPr>
          <w:rFonts w:ascii="Arial" w:hAnsi="Arial" w:cs="Arial"/>
          <w:sz w:val="24"/>
          <w:szCs w:val="24"/>
        </w:rPr>
        <w:t xml:space="preserve"> </w:t>
      </w:r>
      <w:r w:rsidR="00ED744A">
        <w:rPr>
          <w:rFonts w:ascii="Arial" w:hAnsi="Arial" w:cs="Arial"/>
          <w:sz w:val="24"/>
          <w:szCs w:val="24"/>
        </w:rPr>
        <w:tab/>
      </w:r>
      <w:r>
        <w:rPr>
          <w:rFonts w:ascii="Arial" w:hAnsi="Arial" w:cs="Arial"/>
          <w:sz w:val="24"/>
          <w:szCs w:val="24"/>
        </w:rPr>
        <w:t xml:space="preserve">The </w:t>
      </w:r>
      <w:r w:rsidR="004849CD">
        <w:rPr>
          <w:rFonts w:ascii="Arial" w:hAnsi="Arial" w:cs="Arial"/>
          <w:sz w:val="24"/>
          <w:szCs w:val="24"/>
        </w:rPr>
        <w:t>Council Tax and Business Rates</w:t>
      </w:r>
      <w:r w:rsidR="00EB0008">
        <w:rPr>
          <w:rFonts w:ascii="Arial" w:hAnsi="Arial" w:cs="Arial"/>
          <w:sz w:val="24"/>
          <w:szCs w:val="24"/>
        </w:rPr>
        <w:t xml:space="preserve"> services</w:t>
      </w:r>
      <w:r w:rsidR="004849CD">
        <w:rPr>
          <w:rFonts w:ascii="Arial" w:hAnsi="Arial" w:cs="Arial"/>
          <w:sz w:val="24"/>
          <w:szCs w:val="24"/>
        </w:rPr>
        <w:t xml:space="preserve">, </w:t>
      </w:r>
      <w:r w:rsidR="00DF01CB">
        <w:rPr>
          <w:rFonts w:ascii="Arial" w:hAnsi="Arial" w:cs="Arial"/>
          <w:sz w:val="24"/>
          <w:szCs w:val="24"/>
        </w:rPr>
        <w:t xml:space="preserve">impact </w:t>
      </w:r>
      <w:r>
        <w:rPr>
          <w:rFonts w:ascii="Arial" w:hAnsi="Arial" w:cs="Arial"/>
          <w:sz w:val="24"/>
          <w:szCs w:val="24"/>
        </w:rPr>
        <w:t>upon</w:t>
      </w:r>
      <w:r w:rsidR="000F7136">
        <w:rPr>
          <w:rFonts w:ascii="Arial" w:hAnsi="Arial" w:cs="Arial"/>
          <w:sz w:val="24"/>
          <w:szCs w:val="24"/>
        </w:rPr>
        <w:t xml:space="preserve"> all </w:t>
      </w:r>
      <w:r>
        <w:rPr>
          <w:rFonts w:ascii="Arial" w:hAnsi="Arial" w:cs="Arial"/>
          <w:sz w:val="24"/>
          <w:szCs w:val="24"/>
        </w:rPr>
        <w:t>households and businesses within the Borough</w:t>
      </w:r>
      <w:r w:rsidR="00DF01CB">
        <w:rPr>
          <w:rFonts w:ascii="Arial" w:hAnsi="Arial" w:cs="Arial"/>
          <w:sz w:val="24"/>
          <w:szCs w:val="24"/>
        </w:rPr>
        <w:t xml:space="preserve">.  </w:t>
      </w:r>
      <w:r w:rsidR="004849CD">
        <w:rPr>
          <w:rFonts w:ascii="Arial" w:hAnsi="Arial" w:cs="Arial"/>
          <w:sz w:val="24"/>
          <w:szCs w:val="24"/>
        </w:rPr>
        <w:t>In the case of Benefits and Housing Benefit Overpayments, they affect some of the most financially vulnerable residents</w:t>
      </w:r>
      <w:r w:rsidR="00EB0008">
        <w:rPr>
          <w:rFonts w:ascii="Arial" w:hAnsi="Arial" w:cs="Arial"/>
          <w:sz w:val="24"/>
          <w:szCs w:val="24"/>
        </w:rPr>
        <w:t xml:space="preserve"> within the Borough</w:t>
      </w:r>
      <w:r w:rsidR="00DF01CB">
        <w:rPr>
          <w:rFonts w:ascii="Arial" w:hAnsi="Arial" w:cs="Arial"/>
          <w:sz w:val="24"/>
          <w:szCs w:val="24"/>
        </w:rPr>
        <w:t xml:space="preserve">.  Consequently, the delivery of those services will impact upon the </w:t>
      </w:r>
      <w:r w:rsidR="004849CD">
        <w:rPr>
          <w:rFonts w:ascii="Arial" w:hAnsi="Arial" w:cs="Arial"/>
          <w:sz w:val="24"/>
          <w:szCs w:val="24"/>
        </w:rPr>
        <w:t xml:space="preserve">London Borough of Harrow vision </w:t>
      </w:r>
      <w:r w:rsidR="00DF01CB">
        <w:rPr>
          <w:rFonts w:ascii="Arial" w:hAnsi="Arial" w:cs="Arial"/>
          <w:sz w:val="24"/>
          <w:szCs w:val="24"/>
        </w:rPr>
        <w:t xml:space="preserve">and priorities </w:t>
      </w:r>
      <w:r w:rsidR="004849CD">
        <w:rPr>
          <w:rFonts w:ascii="Arial" w:hAnsi="Arial" w:cs="Arial"/>
          <w:sz w:val="24"/>
          <w:szCs w:val="24"/>
        </w:rPr>
        <w:t xml:space="preserve">of </w:t>
      </w:r>
      <w:r w:rsidR="00DF01CB">
        <w:rPr>
          <w:rFonts w:ascii="Arial" w:hAnsi="Arial" w:cs="Arial"/>
          <w:sz w:val="24"/>
          <w:szCs w:val="24"/>
        </w:rPr>
        <w:t xml:space="preserve">“putting residents first” and </w:t>
      </w:r>
      <w:r w:rsidR="004849CD">
        <w:rPr>
          <w:rFonts w:ascii="Arial" w:hAnsi="Arial" w:cs="Arial"/>
          <w:sz w:val="24"/>
          <w:szCs w:val="24"/>
        </w:rPr>
        <w:t xml:space="preserve">being “a place where those in need are supported”.  </w:t>
      </w:r>
    </w:p>
    <w:p w14:paraId="549EC33F" w14:textId="316231F8" w:rsidR="009863F8" w:rsidRPr="00D774E8" w:rsidRDefault="009863F8" w:rsidP="00EA4FCA">
      <w:pPr>
        <w:pStyle w:val="Heading3"/>
        <w:spacing w:before="240"/>
        <w:ind w:left="709" w:hanging="709"/>
        <w:jc w:val="left"/>
        <w:rPr>
          <w:b w:val="0"/>
          <w:bCs w:val="0"/>
          <w:sz w:val="24"/>
          <w:szCs w:val="24"/>
        </w:rPr>
      </w:pPr>
      <w:r>
        <w:rPr>
          <w:b w:val="0"/>
          <w:bCs w:val="0"/>
          <w:sz w:val="24"/>
          <w:szCs w:val="24"/>
        </w:rPr>
        <w:t>1.</w:t>
      </w:r>
      <w:r w:rsidR="003B3B1F">
        <w:rPr>
          <w:b w:val="0"/>
          <w:bCs w:val="0"/>
          <w:sz w:val="24"/>
          <w:szCs w:val="24"/>
        </w:rPr>
        <w:t>4</w:t>
      </w:r>
      <w:r>
        <w:rPr>
          <w:b w:val="0"/>
          <w:bCs w:val="0"/>
          <w:sz w:val="24"/>
          <w:szCs w:val="24"/>
        </w:rPr>
        <w:t xml:space="preserve"> </w:t>
      </w:r>
      <w:r>
        <w:rPr>
          <w:b w:val="0"/>
          <w:bCs w:val="0"/>
          <w:sz w:val="24"/>
          <w:szCs w:val="24"/>
        </w:rPr>
        <w:tab/>
      </w:r>
      <w:r w:rsidRPr="00D774E8">
        <w:rPr>
          <w:b w:val="0"/>
          <w:bCs w:val="0"/>
          <w:sz w:val="24"/>
          <w:szCs w:val="24"/>
        </w:rPr>
        <w:t xml:space="preserve">The options appraisal conducted, has indicated that a retender of the Revenues and Benefits Third Party Support is likely to offer and secure the best performance prospects through increased resilience and therefore </w:t>
      </w:r>
      <w:r>
        <w:rPr>
          <w:b w:val="0"/>
          <w:bCs w:val="0"/>
          <w:sz w:val="24"/>
          <w:szCs w:val="24"/>
        </w:rPr>
        <w:t xml:space="preserve">ensures that there is </w:t>
      </w:r>
      <w:r w:rsidRPr="00D774E8">
        <w:rPr>
          <w:b w:val="0"/>
          <w:bCs w:val="0"/>
          <w:sz w:val="24"/>
          <w:szCs w:val="24"/>
        </w:rPr>
        <w:t xml:space="preserve">less service failure risk </w:t>
      </w:r>
      <w:r>
        <w:rPr>
          <w:b w:val="0"/>
          <w:bCs w:val="0"/>
          <w:sz w:val="24"/>
          <w:szCs w:val="24"/>
        </w:rPr>
        <w:t xml:space="preserve">arising from that perspective </w:t>
      </w:r>
      <w:r w:rsidRPr="00D774E8">
        <w:rPr>
          <w:b w:val="0"/>
          <w:bCs w:val="0"/>
          <w:sz w:val="24"/>
          <w:szCs w:val="24"/>
        </w:rPr>
        <w:t xml:space="preserve">to London Borough of Harrow.  </w:t>
      </w:r>
    </w:p>
    <w:p w14:paraId="69B51FB3" w14:textId="3E619EF1" w:rsidR="009863F8" w:rsidRPr="00D774E8" w:rsidRDefault="009863F8" w:rsidP="00EA4FCA">
      <w:pPr>
        <w:pStyle w:val="Heading3"/>
        <w:spacing w:before="240"/>
        <w:ind w:left="709" w:hanging="709"/>
        <w:jc w:val="left"/>
        <w:rPr>
          <w:b w:val="0"/>
          <w:bCs w:val="0"/>
          <w:sz w:val="24"/>
          <w:szCs w:val="24"/>
        </w:rPr>
      </w:pPr>
      <w:r>
        <w:rPr>
          <w:b w:val="0"/>
          <w:bCs w:val="0"/>
          <w:sz w:val="24"/>
          <w:szCs w:val="24"/>
        </w:rPr>
        <w:t>1.</w:t>
      </w:r>
      <w:r w:rsidR="003B3B1F">
        <w:rPr>
          <w:b w:val="0"/>
          <w:bCs w:val="0"/>
          <w:sz w:val="24"/>
          <w:szCs w:val="24"/>
        </w:rPr>
        <w:t>5</w:t>
      </w:r>
      <w:r>
        <w:rPr>
          <w:b w:val="0"/>
          <w:bCs w:val="0"/>
          <w:sz w:val="24"/>
          <w:szCs w:val="24"/>
        </w:rPr>
        <w:tab/>
      </w:r>
      <w:r w:rsidRPr="00D774E8">
        <w:rPr>
          <w:b w:val="0"/>
          <w:bCs w:val="0"/>
          <w:sz w:val="24"/>
          <w:szCs w:val="24"/>
        </w:rPr>
        <w:t>Whilst an in-house processing service would potentially offer greater flexibility in terms of implementing a more corporate approach to debt recovery and application of the Authority’s Digital Strategy, the risks associated with recruitment and retention of employees and the cost of their associated training and development, particularly for “niche” services such as Business Rates, Valuation and Housing Benefit Overpayments</w:t>
      </w:r>
      <w:r>
        <w:rPr>
          <w:b w:val="0"/>
          <w:bCs w:val="0"/>
          <w:sz w:val="24"/>
          <w:szCs w:val="24"/>
        </w:rPr>
        <w:t xml:space="preserve"> for example</w:t>
      </w:r>
      <w:r w:rsidRPr="00D774E8">
        <w:rPr>
          <w:b w:val="0"/>
          <w:bCs w:val="0"/>
          <w:sz w:val="24"/>
          <w:szCs w:val="24"/>
        </w:rPr>
        <w:t>, would appear to outweigh the benefits.</w:t>
      </w:r>
    </w:p>
    <w:p w14:paraId="58C97C0A" w14:textId="77777777" w:rsidR="009863F8" w:rsidRDefault="009863F8" w:rsidP="00EA4FCA">
      <w:pPr>
        <w:spacing w:after="120" w:line="240" w:lineRule="auto"/>
        <w:rPr>
          <w:rFonts w:ascii="Arial" w:hAnsi="Arial" w:cs="Arial"/>
          <w:b/>
          <w:bCs/>
          <w:sz w:val="24"/>
          <w:szCs w:val="24"/>
        </w:rPr>
      </w:pPr>
    </w:p>
    <w:p w14:paraId="02F553AF" w14:textId="144A6C28" w:rsidR="00F53496" w:rsidRPr="00E3014A" w:rsidRDefault="003B3B1F" w:rsidP="00EA4FCA">
      <w:pPr>
        <w:spacing w:after="0"/>
        <w:rPr>
          <w:rFonts w:ascii="Arial" w:hAnsi="Arial" w:cs="Arial"/>
          <w:b/>
          <w:bCs/>
          <w:sz w:val="28"/>
          <w:szCs w:val="28"/>
        </w:rPr>
      </w:pPr>
      <w:r>
        <w:rPr>
          <w:rFonts w:ascii="Arial" w:hAnsi="Arial" w:cs="Arial"/>
          <w:b/>
          <w:bCs/>
          <w:sz w:val="24"/>
          <w:szCs w:val="24"/>
        </w:rPr>
        <w:t>2.</w:t>
      </w:r>
      <w:r w:rsidR="00ED744A" w:rsidRPr="00ED744A">
        <w:rPr>
          <w:rFonts w:ascii="Arial" w:hAnsi="Arial" w:cs="Arial"/>
          <w:b/>
          <w:bCs/>
          <w:sz w:val="24"/>
          <w:szCs w:val="24"/>
        </w:rPr>
        <w:t xml:space="preserve"> </w:t>
      </w:r>
      <w:r w:rsidR="00ED744A" w:rsidRPr="00E3014A">
        <w:rPr>
          <w:rFonts w:ascii="Arial" w:hAnsi="Arial" w:cs="Arial"/>
          <w:b/>
          <w:bCs/>
          <w:sz w:val="28"/>
          <w:szCs w:val="28"/>
        </w:rPr>
        <w:tab/>
        <w:t>Current Situation</w:t>
      </w:r>
    </w:p>
    <w:p w14:paraId="5E34FE09" w14:textId="2023C642" w:rsidR="00B4228B" w:rsidRDefault="003B3B1F" w:rsidP="00EA4FCA">
      <w:pPr>
        <w:spacing w:after="0"/>
        <w:ind w:left="720" w:hanging="720"/>
        <w:rPr>
          <w:rFonts w:ascii="Arial" w:hAnsi="Arial" w:cs="Arial"/>
          <w:sz w:val="24"/>
          <w:szCs w:val="24"/>
        </w:rPr>
      </w:pPr>
      <w:r>
        <w:rPr>
          <w:rFonts w:ascii="Arial" w:hAnsi="Arial" w:cs="Arial"/>
          <w:sz w:val="24"/>
          <w:szCs w:val="24"/>
        </w:rPr>
        <w:t>2.1</w:t>
      </w:r>
      <w:r w:rsidR="00ED744A">
        <w:rPr>
          <w:rFonts w:ascii="Arial" w:hAnsi="Arial" w:cs="Arial"/>
          <w:sz w:val="24"/>
          <w:szCs w:val="24"/>
        </w:rPr>
        <w:t xml:space="preserve"> </w:t>
      </w:r>
      <w:r w:rsidR="00ED744A">
        <w:rPr>
          <w:rFonts w:ascii="Arial" w:hAnsi="Arial" w:cs="Arial"/>
          <w:sz w:val="24"/>
          <w:szCs w:val="24"/>
        </w:rPr>
        <w:tab/>
      </w:r>
      <w:r w:rsidR="00970348" w:rsidRPr="00B92CC6">
        <w:rPr>
          <w:rFonts w:ascii="Arial" w:hAnsi="Arial" w:cs="Arial"/>
          <w:sz w:val="24"/>
          <w:szCs w:val="24"/>
        </w:rPr>
        <w:t xml:space="preserve">At present, Business Rates and Valuation Work (i.e. activities associated with the compilation and maintenance of the Valuation List and Local Rating List) component of Council Tax and Business Rates </w:t>
      </w:r>
      <w:r w:rsidR="00534E2F">
        <w:rPr>
          <w:rFonts w:ascii="Arial" w:hAnsi="Arial" w:cs="Arial"/>
          <w:sz w:val="24"/>
          <w:szCs w:val="24"/>
        </w:rPr>
        <w:t xml:space="preserve">service delivery, </w:t>
      </w:r>
      <w:r w:rsidR="00970348" w:rsidRPr="00B92CC6">
        <w:rPr>
          <w:rFonts w:ascii="Arial" w:hAnsi="Arial" w:cs="Arial"/>
          <w:sz w:val="24"/>
          <w:szCs w:val="24"/>
        </w:rPr>
        <w:t xml:space="preserve">are </w:t>
      </w:r>
      <w:r w:rsidR="00EB0008">
        <w:rPr>
          <w:rFonts w:ascii="Arial" w:hAnsi="Arial" w:cs="Arial"/>
          <w:sz w:val="24"/>
          <w:szCs w:val="24"/>
        </w:rPr>
        <w:t xml:space="preserve">delivered </w:t>
      </w:r>
      <w:r w:rsidR="008B2CC5">
        <w:rPr>
          <w:rFonts w:ascii="Arial" w:hAnsi="Arial" w:cs="Arial"/>
          <w:sz w:val="24"/>
          <w:szCs w:val="24"/>
        </w:rPr>
        <w:t xml:space="preserve">by way of </w:t>
      </w:r>
      <w:r w:rsidR="00EB0008">
        <w:rPr>
          <w:rFonts w:ascii="Arial" w:hAnsi="Arial" w:cs="Arial"/>
          <w:sz w:val="24"/>
          <w:szCs w:val="24"/>
        </w:rPr>
        <w:t>an outsourced service</w:t>
      </w:r>
      <w:r w:rsidR="008B2CC5">
        <w:rPr>
          <w:rFonts w:ascii="Arial" w:hAnsi="Arial" w:cs="Arial"/>
          <w:sz w:val="24"/>
          <w:szCs w:val="24"/>
        </w:rPr>
        <w:t xml:space="preserve"> arrangement</w:t>
      </w:r>
      <w:r w:rsidR="00EB0008">
        <w:rPr>
          <w:rFonts w:ascii="Arial" w:hAnsi="Arial" w:cs="Arial"/>
          <w:sz w:val="24"/>
          <w:szCs w:val="24"/>
        </w:rPr>
        <w:t xml:space="preserve">.  </w:t>
      </w:r>
      <w:r w:rsidR="00970348" w:rsidRPr="00B92CC6">
        <w:rPr>
          <w:rFonts w:ascii="Arial" w:hAnsi="Arial" w:cs="Arial"/>
          <w:sz w:val="24"/>
          <w:szCs w:val="24"/>
        </w:rPr>
        <w:t>Housing Benefit Overpayment</w:t>
      </w:r>
      <w:r w:rsidR="00ED744A">
        <w:rPr>
          <w:rFonts w:ascii="Arial" w:hAnsi="Arial" w:cs="Arial"/>
          <w:sz w:val="24"/>
          <w:szCs w:val="24"/>
        </w:rPr>
        <w:t xml:space="preserve"> collection and recovery </w:t>
      </w:r>
      <w:r w:rsidR="00EB0008">
        <w:rPr>
          <w:rFonts w:ascii="Arial" w:hAnsi="Arial" w:cs="Arial"/>
          <w:sz w:val="24"/>
          <w:szCs w:val="24"/>
        </w:rPr>
        <w:t xml:space="preserve">is </w:t>
      </w:r>
      <w:r w:rsidR="00970348" w:rsidRPr="00B92CC6">
        <w:rPr>
          <w:rFonts w:ascii="Arial" w:hAnsi="Arial" w:cs="Arial"/>
          <w:sz w:val="24"/>
          <w:szCs w:val="24"/>
        </w:rPr>
        <w:t xml:space="preserve">also </w:t>
      </w:r>
      <w:r w:rsidR="00EB0008">
        <w:rPr>
          <w:rFonts w:ascii="Arial" w:hAnsi="Arial" w:cs="Arial"/>
          <w:sz w:val="24"/>
          <w:szCs w:val="24"/>
        </w:rPr>
        <w:t xml:space="preserve">delivered as an </w:t>
      </w:r>
      <w:r w:rsidR="00970348" w:rsidRPr="00B92CC6">
        <w:rPr>
          <w:rFonts w:ascii="Arial" w:hAnsi="Arial" w:cs="Arial"/>
          <w:sz w:val="24"/>
          <w:szCs w:val="24"/>
        </w:rPr>
        <w:t>outsourced</w:t>
      </w:r>
      <w:r w:rsidR="00EB0008">
        <w:rPr>
          <w:rFonts w:ascii="Arial" w:hAnsi="Arial" w:cs="Arial"/>
          <w:sz w:val="24"/>
          <w:szCs w:val="24"/>
        </w:rPr>
        <w:t xml:space="preserve"> service</w:t>
      </w:r>
      <w:r w:rsidR="00970348" w:rsidRPr="00B92CC6">
        <w:rPr>
          <w:rFonts w:ascii="Arial" w:hAnsi="Arial" w:cs="Arial"/>
          <w:sz w:val="24"/>
          <w:szCs w:val="24"/>
        </w:rPr>
        <w:t xml:space="preserve">.  However, Council Tax and Benefits </w:t>
      </w:r>
      <w:r w:rsidR="00534E2F">
        <w:rPr>
          <w:rFonts w:ascii="Arial" w:hAnsi="Arial" w:cs="Arial"/>
          <w:sz w:val="24"/>
          <w:szCs w:val="24"/>
        </w:rPr>
        <w:t xml:space="preserve">service delivery </w:t>
      </w:r>
      <w:r w:rsidR="00970348" w:rsidRPr="00B92CC6">
        <w:rPr>
          <w:rFonts w:ascii="Arial" w:hAnsi="Arial" w:cs="Arial"/>
          <w:sz w:val="24"/>
          <w:szCs w:val="24"/>
        </w:rPr>
        <w:t xml:space="preserve">are </w:t>
      </w:r>
      <w:r w:rsidR="00FA3D44">
        <w:rPr>
          <w:rFonts w:ascii="Arial" w:hAnsi="Arial" w:cs="Arial"/>
          <w:sz w:val="24"/>
          <w:szCs w:val="24"/>
        </w:rPr>
        <w:t xml:space="preserve">delivered under </w:t>
      </w:r>
      <w:r w:rsidR="00970348" w:rsidRPr="00B92CC6">
        <w:rPr>
          <w:rFonts w:ascii="Arial" w:hAnsi="Arial" w:cs="Arial"/>
          <w:sz w:val="24"/>
          <w:szCs w:val="24"/>
        </w:rPr>
        <w:t xml:space="preserve">a </w:t>
      </w:r>
      <w:r w:rsidR="00534E2F">
        <w:rPr>
          <w:rFonts w:ascii="Arial" w:hAnsi="Arial" w:cs="Arial"/>
          <w:sz w:val="24"/>
          <w:szCs w:val="24"/>
        </w:rPr>
        <w:t>“</w:t>
      </w:r>
      <w:r w:rsidR="00970348" w:rsidRPr="00B92CC6">
        <w:rPr>
          <w:rFonts w:ascii="Arial" w:hAnsi="Arial" w:cs="Arial"/>
          <w:sz w:val="24"/>
          <w:szCs w:val="24"/>
        </w:rPr>
        <w:t>resilience</w:t>
      </w:r>
      <w:r w:rsidR="00534E2F">
        <w:rPr>
          <w:rFonts w:ascii="Arial" w:hAnsi="Arial" w:cs="Arial"/>
          <w:sz w:val="24"/>
          <w:szCs w:val="24"/>
        </w:rPr>
        <w:t>”</w:t>
      </w:r>
      <w:r w:rsidR="00970348" w:rsidRPr="00B92CC6">
        <w:rPr>
          <w:rFonts w:ascii="Arial" w:hAnsi="Arial" w:cs="Arial"/>
          <w:sz w:val="24"/>
          <w:szCs w:val="24"/>
        </w:rPr>
        <w:t xml:space="preserve"> arrangement</w:t>
      </w:r>
      <w:r w:rsidR="00534E2F">
        <w:rPr>
          <w:rFonts w:ascii="Arial" w:hAnsi="Arial" w:cs="Arial"/>
          <w:sz w:val="24"/>
          <w:szCs w:val="24"/>
        </w:rPr>
        <w:t>,</w:t>
      </w:r>
      <w:r w:rsidR="00970348" w:rsidRPr="00B92CC6">
        <w:rPr>
          <w:rFonts w:ascii="Arial" w:hAnsi="Arial" w:cs="Arial"/>
          <w:sz w:val="24"/>
          <w:szCs w:val="24"/>
        </w:rPr>
        <w:t xml:space="preserve"> whereby a contractually defined </w:t>
      </w:r>
      <w:r w:rsidR="00FA3D44">
        <w:rPr>
          <w:rFonts w:ascii="Arial" w:hAnsi="Arial" w:cs="Arial"/>
          <w:sz w:val="24"/>
          <w:szCs w:val="24"/>
        </w:rPr>
        <w:t xml:space="preserve">“core” </w:t>
      </w:r>
      <w:r w:rsidR="00970348" w:rsidRPr="00B92CC6">
        <w:rPr>
          <w:rFonts w:ascii="Arial" w:hAnsi="Arial" w:cs="Arial"/>
          <w:sz w:val="24"/>
          <w:szCs w:val="24"/>
        </w:rPr>
        <w:t xml:space="preserve">volume of work per annum </w:t>
      </w:r>
      <w:r w:rsidR="00534E2F">
        <w:rPr>
          <w:rFonts w:ascii="Arial" w:hAnsi="Arial" w:cs="Arial"/>
          <w:sz w:val="24"/>
          <w:szCs w:val="24"/>
        </w:rPr>
        <w:t xml:space="preserve">is allocated to the supplier </w:t>
      </w:r>
      <w:r w:rsidR="00970348" w:rsidRPr="00B92CC6">
        <w:rPr>
          <w:rFonts w:ascii="Arial" w:hAnsi="Arial" w:cs="Arial"/>
          <w:sz w:val="24"/>
          <w:szCs w:val="24"/>
        </w:rPr>
        <w:t xml:space="preserve">with London Borough of Harrow </w:t>
      </w:r>
      <w:r w:rsidR="00FA3D44">
        <w:rPr>
          <w:rFonts w:ascii="Arial" w:hAnsi="Arial" w:cs="Arial"/>
          <w:sz w:val="24"/>
          <w:szCs w:val="24"/>
        </w:rPr>
        <w:t>employees p</w:t>
      </w:r>
      <w:r w:rsidR="00970348" w:rsidRPr="00B92CC6">
        <w:rPr>
          <w:rFonts w:ascii="Arial" w:hAnsi="Arial" w:cs="Arial"/>
          <w:sz w:val="24"/>
          <w:szCs w:val="24"/>
        </w:rPr>
        <w:t>rocessing the remainder.</w:t>
      </w:r>
      <w:r w:rsidR="00534E2F">
        <w:rPr>
          <w:rFonts w:ascii="Arial" w:hAnsi="Arial" w:cs="Arial"/>
          <w:sz w:val="24"/>
          <w:szCs w:val="24"/>
        </w:rPr>
        <w:t xml:space="preserve"> </w:t>
      </w:r>
    </w:p>
    <w:p w14:paraId="0119E895" w14:textId="77777777" w:rsidR="0057272A" w:rsidRDefault="0057272A" w:rsidP="00EA4FCA">
      <w:pPr>
        <w:spacing w:after="0"/>
        <w:ind w:left="720" w:hanging="720"/>
        <w:rPr>
          <w:rFonts w:ascii="Arial" w:hAnsi="Arial" w:cs="Arial"/>
          <w:sz w:val="24"/>
          <w:szCs w:val="24"/>
        </w:rPr>
      </w:pPr>
    </w:p>
    <w:p w14:paraId="10DC0EAB" w14:textId="50D35059" w:rsidR="00970348" w:rsidRPr="00B92CC6" w:rsidRDefault="003B3B1F" w:rsidP="00EA4FCA">
      <w:pPr>
        <w:ind w:left="720" w:hanging="720"/>
        <w:rPr>
          <w:rFonts w:ascii="Arial" w:hAnsi="Arial" w:cs="Arial"/>
          <w:sz w:val="24"/>
          <w:szCs w:val="24"/>
        </w:rPr>
      </w:pPr>
      <w:r>
        <w:rPr>
          <w:rFonts w:ascii="Arial" w:hAnsi="Arial" w:cs="Arial"/>
          <w:sz w:val="24"/>
          <w:szCs w:val="24"/>
        </w:rPr>
        <w:lastRenderedPageBreak/>
        <w:t>2.2</w:t>
      </w:r>
      <w:r w:rsidR="00B4228B">
        <w:rPr>
          <w:rFonts w:ascii="Arial" w:hAnsi="Arial" w:cs="Arial"/>
          <w:sz w:val="24"/>
          <w:szCs w:val="24"/>
        </w:rPr>
        <w:tab/>
      </w:r>
      <w:r w:rsidR="00534E2F">
        <w:rPr>
          <w:rFonts w:ascii="Arial" w:hAnsi="Arial" w:cs="Arial"/>
          <w:sz w:val="24"/>
          <w:szCs w:val="24"/>
        </w:rPr>
        <w:t>A</w:t>
      </w:r>
      <w:r w:rsidR="00B4228B">
        <w:rPr>
          <w:rFonts w:ascii="Arial" w:hAnsi="Arial" w:cs="Arial"/>
          <w:sz w:val="24"/>
          <w:szCs w:val="24"/>
        </w:rPr>
        <w:t xml:space="preserve">rrangements for </w:t>
      </w:r>
      <w:r w:rsidR="00534E2F">
        <w:rPr>
          <w:rFonts w:ascii="Arial" w:hAnsi="Arial" w:cs="Arial"/>
          <w:sz w:val="24"/>
          <w:szCs w:val="24"/>
        </w:rPr>
        <w:t xml:space="preserve">both the resilience and outsourced service activities, are </w:t>
      </w:r>
      <w:r w:rsidR="00342006">
        <w:rPr>
          <w:rFonts w:ascii="Arial" w:hAnsi="Arial" w:cs="Arial"/>
          <w:sz w:val="24"/>
          <w:szCs w:val="24"/>
        </w:rPr>
        <w:t xml:space="preserve">currently </w:t>
      </w:r>
      <w:r w:rsidR="00B4228B">
        <w:rPr>
          <w:rFonts w:ascii="Arial" w:hAnsi="Arial" w:cs="Arial"/>
          <w:sz w:val="24"/>
          <w:szCs w:val="24"/>
        </w:rPr>
        <w:t>enshrined within a single contract package and delivered by a single service provider.  (i.e. Capita</w:t>
      </w:r>
      <w:r w:rsidR="00FA3D44">
        <w:rPr>
          <w:rFonts w:ascii="Arial" w:hAnsi="Arial" w:cs="Arial"/>
          <w:sz w:val="24"/>
          <w:szCs w:val="24"/>
        </w:rPr>
        <w:t xml:space="preserve"> Business Services Limited</w:t>
      </w:r>
      <w:r w:rsidR="00B4228B">
        <w:rPr>
          <w:rFonts w:ascii="Arial" w:hAnsi="Arial" w:cs="Arial"/>
          <w:sz w:val="24"/>
          <w:szCs w:val="24"/>
        </w:rPr>
        <w:t>)</w:t>
      </w:r>
      <w:r w:rsidR="00FA3D44">
        <w:rPr>
          <w:rFonts w:ascii="Arial" w:hAnsi="Arial" w:cs="Arial"/>
          <w:sz w:val="24"/>
          <w:szCs w:val="24"/>
        </w:rPr>
        <w:t>.</w:t>
      </w:r>
      <w:r w:rsidR="00970348" w:rsidRPr="00B92CC6">
        <w:rPr>
          <w:rFonts w:ascii="Arial" w:hAnsi="Arial" w:cs="Arial"/>
          <w:sz w:val="24"/>
          <w:szCs w:val="24"/>
        </w:rPr>
        <w:t xml:space="preserve">  </w:t>
      </w:r>
    </w:p>
    <w:p w14:paraId="375DE273" w14:textId="24DBC11E" w:rsidR="00B4228B" w:rsidRDefault="003B3B1F" w:rsidP="00EA4FCA">
      <w:pPr>
        <w:ind w:left="720" w:hanging="720"/>
        <w:rPr>
          <w:rFonts w:ascii="Arial" w:hAnsi="Arial" w:cs="Arial"/>
          <w:sz w:val="24"/>
          <w:szCs w:val="24"/>
        </w:rPr>
      </w:pPr>
      <w:r>
        <w:rPr>
          <w:rFonts w:ascii="Arial" w:hAnsi="Arial" w:cs="Arial"/>
          <w:sz w:val="24"/>
          <w:szCs w:val="24"/>
        </w:rPr>
        <w:t>2.3</w:t>
      </w:r>
      <w:r w:rsidR="00ED744A">
        <w:rPr>
          <w:rFonts w:ascii="Arial" w:hAnsi="Arial" w:cs="Arial"/>
          <w:sz w:val="24"/>
          <w:szCs w:val="24"/>
        </w:rPr>
        <w:tab/>
      </w:r>
      <w:r w:rsidR="00010E3F" w:rsidRPr="00640163">
        <w:rPr>
          <w:rFonts w:ascii="Arial" w:hAnsi="Arial" w:cs="Arial"/>
          <w:sz w:val="24"/>
          <w:szCs w:val="24"/>
        </w:rPr>
        <w:t xml:space="preserve">Within the outsourcing marketplace for Revenues and Benefits Services, there are two known active service providers (Capita Business Services Ltd and </w:t>
      </w:r>
      <w:proofErr w:type="spellStart"/>
      <w:r w:rsidR="00010E3F" w:rsidRPr="00640163">
        <w:rPr>
          <w:rFonts w:ascii="Arial" w:hAnsi="Arial" w:cs="Arial"/>
          <w:sz w:val="24"/>
          <w:szCs w:val="24"/>
        </w:rPr>
        <w:t>Liberata</w:t>
      </w:r>
      <w:proofErr w:type="spellEnd"/>
      <w:r w:rsidR="00010E3F" w:rsidRPr="00640163">
        <w:rPr>
          <w:rFonts w:ascii="Arial" w:hAnsi="Arial" w:cs="Arial"/>
          <w:sz w:val="24"/>
          <w:szCs w:val="24"/>
        </w:rPr>
        <w:t xml:space="preserve">).  Within the resilience marketplace, there are </w:t>
      </w:r>
      <w:r w:rsidR="00FA3D44">
        <w:rPr>
          <w:rFonts w:ascii="Arial" w:hAnsi="Arial" w:cs="Arial"/>
          <w:sz w:val="24"/>
          <w:szCs w:val="24"/>
        </w:rPr>
        <w:t xml:space="preserve">currently </w:t>
      </w:r>
      <w:r w:rsidR="00010E3F" w:rsidRPr="00640163">
        <w:rPr>
          <w:rFonts w:ascii="Arial" w:hAnsi="Arial" w:cs="Arial"/>
          <w:sz w:val="24"/>
          <w:szCs w:val="24"/>
        </w:rPr>
        <w:t xml:space="preserve">at least five known service providers (i.e. Capita Business Services Ltd, </w:t>
      </w:r>
      <w:proofErr w:type="spellStart"/>
      <w:r w:rsidR="00010E3F" w:rsidRPr="00640163">
        <w:rPr>
          <w:rFonts w:ascii="Arial" w:hAnsi="Arial" w:cs="Arial"/>
          <w:sz w:val="24"/>
          <w:szCs w:val="24"/>
        </w:rPr>
        <w:t>Liberata</w:t>
      </w:r>
      <w:proofErr w:type="spellEnd"/>
      <w:r w:rsidR="00010E3F" w:rsidRPr="00640163">
        <w:rPr>
          <w:rFonts w:ascii="Arial" w:hAnsi="Arial" w:cs="Arial"/>
          <w:sz w:val="24"/>
          <w:szCs w:val="24"/>
        </w:rPr>
        <w:t xml:space="preserve">, </w:t>
      </w:r>
      <w:proofErr w:type="spellStart"/>
      <w:r w:rsidR="00010E3F" w:rsidRPr="00640163">
        <w:rPr>
          <w:rFonts w:ascii="Arial" w:hAnsi="Arial" w:cs="Arial"/>
          <w:sz w:val="24"/>
          <w:szCs w:val="24"/>
        </w:rPr>
        <w:t>Civica</w:t>
      </w:r>
      <w:proofErr w:type="spellEnd"/>
      <w:r w:rsidR="00010E3F" w:rsidRPr="00640163">
        <w:rPr>
          <w:rFonts w:ascii="Arial" w:hAnsi="Arial" w:cs="Arial"/>
          <w:sz w:val="24"/>
          <w:szCs w:val="24"/>
        </w:rPr>
        <w:t xml:space="preserve">, </w:t>
      </w:r>
      <w:proofErr w:type="spellStart"/>
      <w:r w:rsidR="00010E3F" w:rsidRPr="00640163">
        <w:rPr>
          <w:rFonts w:ascii="Arial" w:hAnsi="Arial" w:cs="Arial"/>
          <w:sz w:val="24"/>
          <w:szCs w:val="24"/>
        </w:rPr>
        <w:t>Meritec</w:t>
      </w:r>
      <w:proofErr w:type="spellEnd"/>
      <w:r w:rsidR="00010E3F" w:rsidRPr="00640163">
        <w:rPr>
          <w:rFonts w:ascii="Arial" w:hAnsi="Arial" w:cs="Arial"/>
          <w:sz w:val="24"/>
          <w:szCs w:val="24"/>
        </w:rPr>
        <w:t xml:space="preserve"> and NEC).  </w:t>
      </w:r>
    </w:p>
    <w:p w14:paraId="021D383D" w14:textId="69F89669" w:rsidR="00652944" w:rsidRPr="00640163" w:rsidRDefault="003B3B1F" w:rsidP="00EA4FCA">
      <w:pPr>
        <w:ind w:left="720" w:hanging="720"/>
        <w:rPr>
          <w:rFonts w:ascii="Arial" w:hAnsi="Arial" w:cs="Arial"/>
          <w:sz w:val="24"/>
          <w:szCs w:val="24"/>
        </w:rPr>
      </w:pPr>
      <w:r>
        <w:rPr>
          <w:rFonts w:ascii="Arial" w:hAnsi="Arial" w:cs="Arial"/>
          <w:sz w:val="24"/>
          <w:szCs w:val="24"/>
        </w:rPr>
        <w:t>2.4</w:t>
      </w:r>
      <w:r w:rsidR="00652944">
        <w:rPr>
          <w:rFonts w:ascii="Arial" w:hAnsi="Arial" w:cs="Arial"/>
          <w:sz w:val="24"/>
          <w:szCs w:val="24"/>
        </w:rPr>
        <w:tab/>
      </w:r>
      <w:r w:rsidR="00652944" w:rsidRPr="00640163">
        <w:rPr>
          <w:rFonts w:ascii="Arial" w:hAnsi="Arial" w:cs="Arial"/>
          <w:sz w:val="24"/>
          <w:szCs w:val="24"/>
        </w:rPr>
        <w:t xml:space="preserve">London Borough of Harrow </w:t>
      </w:r>
      <w:r w:rsidR="00EB0008">
        <w:rPr>
          <w:rFonts w:ascii="Arial" w:hAnsi="Arial" w:cs="Arial"/>
          <w:sz w:val="24"/>
          <w:szCs w:val="24"/>
        </w:rPr>
        <w:t xml:space="preserve">currently </w:t>
      </w:r>
      <w:r w:rsidR="00652944" w:rsidRPr="00640163">
        <w:rPr>
          <w:rFonts w:ascii="Arial" w:hAnsi="Arial" w:cs="Arial"/>
          <w:sz w:val="24"/>
          <w:szCs w:val="24"/>
        </w:rPr>
        <w:t>retain</w:t>
      </w:r>
      <w:r w:rsidR="00652944">
        <w:rPr>
          <w:rFonts w:ascii="Arial" w:hAnsi="Arial" w:cs="Arial"/>
          <w:sz w:val="24"/>
          <w:szCs w:val="24"/>
        </w:rPr>
        <w:t xml:space="preserve">s </w:t>
      </w:r>
      <w:r w:rsidR="00652944" w:rsidRPr="00640163">
        <w:rPr>
          <w:rFonts w:ascii="Arial" w:hAnsi="Arial" w:cs="Arial"/>
          <w:sz w:val="24"/>
          <w:szCs w:val="24"/>
        </w:rPr>
        <w:t>responsibility for the following key activities</w:t>
      </w:r>
      <w:r w:rsidR="00652944">
        <w:rPr>
          <w:rFonts w:ascii="Arial" w:hAnsi="Arial" w:cs="Arial"/>
          <w:sz w:val="24"/>
          <w:szCs w:val="24"/>
        </w:rPr>
        <w:t xml:space="preserve"> affecting the services in scope</w:t>
      </w:r>
      <w:r w:rsidR="00342006">
        <w:rPr>
          <w:rFonts w:ascii="Arial" w:hAnsi="Arial" w:cs="Arial"/>
          <w:sz w:val="24"/>
          <w:szCs w:val="24"/>
        </w:rPr>
        <w:t xml:space="preserve"> primarily due to statutory provisions, administrative ease and financial implications</w:t>
      </w:r>
      <w:r w:rsidR="00DE688D">
        <w:rPr>
          <w:rFonts w:ascii="Arial" w:hAnsi="Arial" w:cs="Arial"/>
          <w:sz w:val="24"/>
          <w:szCs w:val="24"/>
        </w:rPr>
        <w:t>:</w:t>
      </w:r>
      <w:r w:rsidR="00342006">
        <w:rPr>
          <w:rFonts w:ascii="Arial" w:hAnsi="Arial" w:cs="Arial"/>
          <w:sz w:val="24"/>
          <w:szCs w:val="24"/>
        </w:rPr>
        <w:t xml:space="preserve">  </w:t>
      </w:r>
    </w:p>
    <w:p w14:paraId="3603260C" w14:textId="42C43EE8" w:rsidR="00652944" w:rsidRPr="00CA7B10" w:rsidRDefault="00652944" w:rsidP="00EA4FCA">
      <w:pPr>
        <w:pStyle w:val="ListParagraph"/>
        <w:numPr>
          <w:ilvl w:val="0"/>
          <w:numId w:val="3"/>
        </w:numPr>
        <w:tabs>
          <w:tab w:val="left" w:pos="1134"/>
        </w:tabs>
        <w:ind w:left="1134" w:hanging="425"/>
        <w:rPr>
          <w:rFonts w:cs="Arial"/>
          <w:szCs w:val="24"/>
        </w:rPr>
      </w:pPr>
      <w:r>
        <w:rPr>
          <w:rFonts w:cs="Arial"/>
          <w:szCs w:val="24"/>
        </w:rPr>
        <w:t xml:space="preserve">IT </w:t>
      </w:r>
      <w:r w:rsidRPr="00CA7B10">
        <w:rPr>
          <w:rFonts w:cs="Arial"/>
          <w:szCs w:val="24"/>
        </w:rPr>
        <w:t>Systems Administration</w:t>
      </w:r>
      <w:r w:rsidR="00DE7672">
        <w:rPr>
          <w:rFonts w:cs="Arial"/>
          <w:szCs w:val="24"/>
        </w:rPr>
        <w:t xml:space="preserve"> and provision of service e-forms </w:t>
      </w:r>
    </w:p>
    <w:p w14:paraId="31D76272" w14:textId="48BC9460" w:rsidR="00652944" w:rsidRPr="00CA7B10" w:rsidRDefault="00EB0008" w:rsidP="00EA4FCA">
      <w:pPr>
        <w:pStyle w:val="ListParagraph"/>
        <w:numPr>
          <w:ilvl w:val="0"/>
          <w:numId w:val="3"/>
        </w:numPr>
        <w:tabs>
          <w:tab w:val="left" w:pos="1134"/>
        </w:tabs>
        <w:ind w:left="1134" w:hanging="425"/>
        <w:rPr>
          <w:rFonts w:cs="Arial"/>
          <w:szCs w:val="24"/>
        </w:rPr>
      </w:pPr>
      <w:r>
        <w:rPr>
          <w:rFonts w:cs="Arial"/>
          <w:szCs w:val="24"/>
        </w:rPr>
        <w:t xml:space="preserve">Council Tax and Business Rates </w:t>
      </w:r>
      <w:r w:rsidR="00652944" w:rsidRPr="00CA7B10">
        <w:rPr>
          <w:rFonts w:cs="Arial"/>
          <w:szCs w:val="24"/>
        </w:rPr>
        <w:t>Recovery and Enforcement</w:t>
      </w:r>
      <w:r w:rsidR="004212DF">
        <w:rPr>
          <w:rFonts w:cs="Arial"/>
          <w:szCs w:val="24"/>
        </w:rPr>
        <w:t xml:space="preserve"> (i.e. summons and liability order applications and ancillary activities,</w:t>
      </w:r>
      <w:r w:rsidR="009D32D9">
        <w:rPr>
          <w:rFonts w:cs="Arial"/>
          <w:szCs w:val="24"/>
        </w:rPr>
        <w:t xml:space="preserve"> committal and all other court activities,</w:t>
      </w:r>
      <w:r w:rsidR="004212DF">
        <w:rPr>
          <w:rFonts w:cs="Arial"/>
          <w:szCs w:val="24"/>
        </w:rPr>
        <w:t xml:space="preserve"> appointment</w:t>
      </w:r>
      <w:r w:rsidR="000F7136">
        <w:rPr>
          <w:rFonts w:cs="Arial"/>
          <w:szCs w:val="24"/>
        </w:rPr>
        <w:t>,</w:t>
      </w:r>
      <w:r w:rsidR="004212DF">
        <w:rPr>
          <w:rFonts w:cs="Arial"/>
          <w:szCs w:val="24"/>
        </w:rPr>
        <w:t xml:space="preserve"> and contract management for Civil Enforcement Agents)</w:t>
      </w:r>
    </w:p>
    <w:p w14:paraId="2EE86FDB" w14:textId="77777777" w:rsidR="00652944" w:rsidRDefault="00652944" w:rsidP="00EA4FCA">
      <w:pPr>
        <w:pStyle w:val="ListParagraph"/>
        <w:numPr>
          <w:ilvl w:val="0"/>
          <w:numId w:val="3"/>
        </w:numPr>
        <w:tabs>
          <w:tab w:val="left" w:pos="1134"/>
        </w:tabs>
        <w:ind w:left="1134" w:hanging="425"/>
        <w:rPr>
          <w:rFonts w:cs="Arial"/>
          <w:szCs w:val="24"/>
        </w:rPr>
      </w:pPr>
      <w:r w:rsidRPr="00CA7B10">
        <w:rPr>
          <w:rFonts w:cs="Arial"/>
          <w:szCs w:val="24"/>
        </w:rPr>
        <w:t>Property Inspections</w:t>
      </w:r>
    </w:p>
    <w:p w14:paraId="0D5F9DB7" w14:textId="6AB38FE9" w:rsidR="000F7136" w:rsidRDefault="000F7136" w:rsidP="00EA4FCA">
      <w:pPr>
        <w:pStyle w:val="ListParagraph"/>
        <w:numPr>
          <w:ilvl w:val="0"/>
          <w:numId w:val="3"/>
        </w:numPr>
        <w:tabs>
          <w:tab w:val="left" w:pos="1134"/>
        </w:tabs>
        <w:ind w:left="1134" w:hanging="425"/>
        <w:rPr>
          <w:rFonts w:cs="Arial"/>
          <w:szCs w:val="24"/>
        </w:rPr>
      </w:pPr>
      <w:r>
        <w:rPr>
          <w:rFonts w:cs="Arial"/>
          <w:szCs w:val="24"/>
        </w:rPr>
        <w:t>Service of Completion Notices</w:t>
      </w:r>
    </w:p>
    <w:p w14:paraId="1D254A71" w14:textId="72086FF9" w:rsidR="000F7136" w:rsidRPr="00CA7B10" w:rsidRDefault="000F7136" w:rsidP="00EA4FCA">
      <w:pPr>
        <w:pStyle w:val="ListParagraph"/>
        <w:numPr>
          <w:ilvl w:val="0"/>
          <w:numId w:val="3"/>
        </w:numPr>
        <w:tabs>
          <w:tab w:val="left" w:pos="1134"/>
        </w:tabs>
        <w:ind w:left="1134" w:hanging="425"/>
        <w:rPr>
          <w:rFonts w:cs="Arial"/>
          <w:szCs w:val="24"/>
        </w:rPr>
      </w:pPr>
      <w:r>
        <w:rPr>
          <w:rFonts w:cs="Arial"/>
          <w:szCs w:val="24"/>
        </w:rPr>
        <w:t xml:space="preserve">Annual Billing </w:t>
      </w:r>
    </w:p>
    <w:p w14:paraId="2617E021" w14:textId="22711860" w:rsidR="00652944" w:rsidRPr="00CA7B10" w:rsidRDefault="00652944" w:rsidP="00EA4FCA">
      <w:pPr>
        <w:pStyle w:val="ListParagraph"/>
        <w:numPr>
          <w:ilvl w:val="0"/>
          <w:numId w:val="3"/>
        </w:numPr>
        <w:tabs>
          <w:tab w:val="left" w:pos="1134"/>
        </w:tabs>
        <w:ind w:left="1134" w:hanging="425"/>
        <w:rPr>
          <w:rFonts w:cs="Arial"/>
          <w:szCs w:val="24"/>
        </w:rPr>
      </w:pPr>
      <w:r>
        <w:rPr>
          <w:rFonts w:cs="Arial"/>
          <w:szCs w:val="24"/>
        </w:rPr>
        <w:t xml:space="preserve">Achievement of targets </w:t>
      </w:r>
      <w:r w:rsidRPr="00CA7B10">
        <w:rPr>
          <w:rFonts w:cs="Arial"/>
          <w:szCs w:val="24"/>
        </w:rPr>
        <w:t xml:space="preserve">for in year and arrears </w:t>
      </w:r>
      <w:r>
        <w:rPr>
          <w:rFonts w:cs="Arial"/>
          <w:szCs w:val="24"/>
        </w:rPr>
        <w:t xml:space="preserve">collection </w:t>
      </w:r>
      <w:r w:rsidRPr="00CA7B10">
        <w:rPr>
          <w:rFonts w:cs="Arial"/>
          <w:szCs w:val="24"/>
        </w:rPr>
        <w:t xml:space="preserve">for Council Tax and Business Rates </w:t>
      </w:r>
    </w:p>
    <w:p w14:paraId="7CFE14F9" w14:textId="40B66CF8" w:rsidR="00652944" w:rsidRDefault="004212DF" w:rsidP="00EA4FCA">
      <w:pPr>
        <w:pStyle w:val="ListParagraph"/>
        <w:numPr>
          <w:ilvl w:val="0"/>
          <w:numId w:val="3"/>
        </w:numPr>
        <w:tabs>
          <w:tab w:val="left" w:pos="1134"/>
        </w:tabs>
        <w:ind w:left="1134" w:hanging="425"/>
        <w:rPr>
          <w:rFonts w:cs="Arial"/>
          <w:szCs w:val="24"/>
        </w:rPr>
      </w:pPr>
      <w:r>
        <w:rPr>
          <w:rFonts w:cs="Arial"/>
          <w:szCs w:val="24"/>
        </w:rPr>
        <w:t xml:space="preserve">Implementation of </w:t>
      </w:r>
      <w:r w:rsidR="00652944" w:rsidRPr="00CA7B10">
        <w:rPr>
          <w:rFonts w:cs="Arial"/>
          <w:szCs w:val="24"/>
        </w:rPr>
        <w:t xml:space="preserve">Central Government Initiatives and other changes affecting </w:t>
      </w:r>
      <w:r w:rsidR="00652944">
        <w:rPr>
          <w:rFonts w:cs="Arial"/>
          <w:szCs w:val="24"/>
        </w:rPr>
        <w:t>the services in scope.</w:t>
      </w:r>
      <w:r w:rsidR="00652944" w:rsidRPr="00CA7B10">
        <w:rPr>
          <w:rFonts w:cs="Arial"/>
          <w:szCs w:val="24"/>
        </w:rPr>
        <w:t xml:space="preserve"> </w:t>
      </w:r>
    </w:p>
    <w:p w14:paraId="6D9EC300" w14:textId="40063BEB" w:rsidR="00652944" w:rsidRDefault="00652944" w:rsidP="00EA4FCA">
      <w:pPr>
        <w:pStyle w:val="ListParagraph"/>
        <w:numPr>
          <w:ilvl w:val="0"/>
          <w:numId w:val="3"/>
        </w:numPr>
        <w:tabs>
          <w:tab w:val="left" w:pos="1134"/>
        </w:tabs>
        <w:ind w:left="1134" w:hanging="425"/>
        <w:rPr>
          <w:rFonts w:cs="Arial"/>
          <w:szCs w:val="24"/>
        </w:rPr>
      </w:pPr>
      <w:r>
        <w:rPr>
          <w:rFonts w:cs="Arial"/>
          <w:szCs w:val="24"/>
        </w:rPr>
        <w:t xml:space="preserve">Government returns for the services in scope </w:t>
      </w:r>
    </w:p>
    <w:p w14:paraId="387A1F0E" w14:textId="25D2BE51" w:rsidR="00652944" w:rsidRDefault="00652944" w:rsidP="00EA4FCA">
      <w:pPr>
        <w:pStyle w:val="ListParagraph"/>
        <w:numPr>
          <w:ilvl w:val="0"/>
          <w:numId w:val="3"/>
        </w:numPr>
        <w:tabs>
          <w:tab w:val="left" w:pos="1134"/>
        </w:tabs>
        <w:ind w:left="1134" w:hanging="425"/>
        <w:rPr>
          <w:rFonts w:cs="Arial"/>
          <w:szCs w:val="24"/>
        </w:rPr>
      </w:pPr>
      <w:r>
        <w:rPr>
          <w:rFonts w:cs="Arial"/>
          <w:szCs w:val="24"/>
        </w:rPr>
        <w:t xml:space="preserve">Discretionary discounts and rate reliefs </w:t>
      </w:r>
      <w:r w:rsidR="008E682D">
        <w:rPr>
          <w:rFonts w:cs="Arial"/>
          <w:szCs w:val="24"/>
        </w:rPr>
        <w:t>for the services in scope</w:t>
      </w:r>
    </w:p>
    <w:p w14:paraId="680828EC" w14:textId="2193A0CD" w:rsidR="00652944" w:rsidRDefault="00652944" w:rsidP="00EA4FCA">
      <w:pPr>
        <w:pStyle w:val="ListParagraph"/>
        <w:numPr>
          <w:ilvl w:val="0"/>
          <w:numId w:val="3"/>
        </w:numPr>
        <w:tabs>
          <w:tab w:val="left" w:pos="1134"/>
        </w:tabs>
        <w:ind w:left="1134" w:hanging="425"/>
        <w:rPr>
          <w:rFonts w:cs="Arial"/>
          <w:szCs w:val="24"/>
        </w:rPr>
      </w:pPr>
      <w:r>
        <w:rPr>
          <w:rFonts w:cs="Arial"/>
          <w:szCs w:val="24"/>
        </w:rPr>
        <w:t xml:space="preserve">Approval of Benefit awards, as prescribed by statute.  </w:t>
      </w:r>
    </w:p>
    <w:p w14:paraId="378CA6B3" w14:textId="0EC0C4A4" w:rsidR="00652944" w:rsidRPr="008E682D" w:rsidRDefault="00652944" w:rsidP="00EA4FCA">
      <w:pPr>
        <w:pStyle w:val="ListParagraph"/>
        <w:numPr>
          <w:ilvl w:val="0"/>
          <w:numId w:val="3"/>
        </w:numPr>
        <w:tabs>
          <w:tab w:val="left" w:pos="1134"/>
        </w:tabs>
        <w:ind w:left="1134" w:hanging="425"/>
        <w:rPr>
          <w:rFonts w:cs="Arial"/>
          <w:szCs w:val="24"/>
        </w:rPr>
      </w:pPr>
      <w:r w:rsidRPr="008E682D">
        <w:rPr>
          <w:rFonts w:cs="Arial"/>
          <w:szCs w:val="24"/>
        </w:rPr>
        <w:t xml:space="preserve">Determination </w:t>
      </w:r>
      <w:r w:rsidR="008E682D" w:rsidRPr="008E682D">
        <w:rPr>
          <w:rFonts w:cs="Arial"/>
          <w:szCs w:val="24"/>
        </w:rPr>
        <w:t xml:space="preserve">as to whether a Housing Benefit Overpayment is recoverable and whether to recover that </w:t>
      </w:r>
      <w:r w:rsidRPr="008E682D">
        <w:rPr>
          <w:rFonts w:cs="Arial"/>
          <w:szCs w:val="24"/>
        </w:rPr>
        <w:t xml:space="preserve">Overpayment. </w:t>
      </w:r>
    </w:p>
    <w:p w14:paraId="1444846C" w14:textId="753E8878" w:rsidR="008E682D" w:rsidRDefault="008E682D" w:rsidP="00EA4FCA">
      <w:pPr>
        <w:pStyle w:val="ListParagraph"/>
        <w:numPr>
          <w:ilvl w:val="0"/>
          <w:numId w:val="3"/>
        </w:numPr>
        <w:tabs>
          <w:tab w:val="left" w:pos="1134"/>
        </w:tabs>
        <w:ind w:left="1134" w:hanging="425"/>
        <w:rPr>
          <w:rFonts w:cs="Arial"/>
          <w:szCs w:val="24"/>
        </w:rPr>
      </w:pPr>
      <w:r w:rsidRPr="008E682D">
        <w:rPr>
          <w:rFonts w:cs="Arial"/>
          <w:szCs w:val="24"/>
        </w:rPr>
        <w:t>Assessment and awards of Discretionary Housing Payments.</w:t>
      </w:r>
    </w:p>
    <w:p w14:paraId="00066600" w14:textId="72E3DC94" w:rsidR="00614538" w:rsidRPr="008E682D" w:rsidRDefault="00614538" w:rsidP="00EA4FCA">
      <w:pPr>
        <w:pStyle w:val="ListParagraph"/>
        <w:numPr>
          <w:ilvl w:val="0"/>
          <w:numId w:val="3"/>
        </w:numPr>
        <w:tabs>
          <w:tab w:val="left" w:pos="1134"/>
        </w:tabs>
        <w:ind w:left="1134" w:hanging="425"/>
        <w:rPr>
          <w:rFonts w:cs="Arial"/>
          <w:szCs w:val="24"/>
        </w:rPr>
      </w:pPr>
      <w:r>
        <w:rPr>
          <w:rFonts w:cs="Arial"/>
          <w:szCs w:val="24"/>
        </w:rPr>
        <w:t>Housing Benefit disputes and appeals.</w:t>
      </w:r>
    </w:p>
    <w:p w14:paraId="7C813370" w14:textId="77777777" w:rsidR="00652944" w:rsidRDefault="00652944" w:rsidP="00EA4FCA">
      <w:pPr>
        <w:spacing w:after="0" w:line="240" w:lineRule="auto"/>
        <w:ind w:left="720" w:hanging="720"/>
        <w:rPr>
          <w:rFonts w:ascii="Arial" w:hAnsi="Arial" w:cs="Arial"/>
          <w:sz w:val="24"/>
          <w:szCs w:val="24"/>
        </w:rPr>
      </w:pPr>
    </w:p>
    <w:p w14:paraId="15E1778B" w14:textId="7A15ED0B" w:rsidR="00B4228B" w:rsidRPr="00E3014A" w:rsidRDefault="003B3B1F" w:rsidP="00EA4FCA">
      <w:pPr>
        <w:ind w:left="720" w:hanging="720"/>
        <w:rPr>
          <w:rFonts w:ascii="Arial" w:hAnsi="Arial" w:cs="Arial"/>
          <w:b/>
          <w:bCs/>
          <w:sz w:val="32"/>
          <w:szCs w:val="32"/>
        </w:rPr>
      </w:pPr>
      <w:r>
        <w:rPr>
          <w:rFonts w:ascii="Arial" w:hAnsi="Arial" w:cs="Arial"/>
          <w:b/>
          <w:bCs/>
          <w:sz w:val="24"/>
          <w:szCs w:val="24"/>
        </w:rPr>
        <w:t>2.5</w:t>
      </w:r>
      <w:r w:rsidR="007778CF" w:rsidRPr="007778CF">
        <w:rPr>
          <w:rFonts w:ascii="Arial" w:hAnsi="Arial" w:cs="Arial"/>
          <w:b/>
          <w:bCs/>
          <w:sz w:val="24"/>
          <w:szCs w:val="24"/>
        </w:rPr>
        <w:t xml:space="preserve"> </w:t>
      </w:r>
      <w:r w:rsidR="007778CF" w:rsidRPr="007778CF">
        <w:rPr>
          <w:rFonts w:ascii="Arial" w:hAnsi="Arial" w:cs="Arial"/>
          <w:b/>
          <w:bCs/>
          <w:sz w:val="24"/>
          <w:szCs w:val="24"/>
        </w:rPr>
        <w:tab/>
      </w:r>
      <w:r w:rsidR="00B129CC" w:rsidRPr="00E3014A">
        <w:rPr>
          <w:rFonts w:ascii="Arial" w:hAnsi="Arial" w:cs="Arial"/>
          <w:b/>
          <w:bCs/>
          <w:sz w:val="32"/>
          <w:szCs w:val="32"/>
        </w:rPr>
        <w:t>Options Appraisal</w:t>
      </w:r>
    </w:p>
    <w:p w14:paraId="7EB3A7BF" w14:textId="171F2842" w:rsidR="00142FC0" w:rsidRPr="00E3014A" w:rsidRDefault="00142FC0" w:rsidP="00EA4FCA">
      <w:pPr>
        <w:spacing w:after="0"/>
        <w:ind w:left="720" w:hanging="720"/>
        <w:rPr>
          <w:rFonts w:ascii="Arial" w:hAnsi="Arial" w:cs="Arial"/>
          <w:b/>
          <w:bCs/>
          <w:sz w:val="28"/>
          <w:szCs w:val="28"/>
        </w:rPr>
      </w:pPr>
      <w:r>
        <w:rPr>
          <w:rFonts w:ascii="Arial" w:hAnsi="Arial" w:cs="Arial"/>
          <w:sz w:val="24"/>
          <w:szCs w:val="24"/>
        </w:rPr>
        <w:tab/>
      </w:r>
      <w:r w:rsidR="00473B34" w:rsidRPr="00473B34">
        <w:rPr>
          <w:rFonts w:ascii="Arial" w:hAnsi="Arial" w:cs="Arial"/>
          <w:b/>
          <w:bCs/>
          <w:sz w:val="28"/>
          <w:szCs w:val="28"/>
        </w:rPr>
        <w:t>Option 1</w:t>
      </w:r>
      <w:r w:rsidR="00473B34">
        <w:rPr>
          <w:rFonts w:ascii="Arial" w:hAnsi="Arial" w:cs="Arial"/>
          <w:b/>
          <w:bCs/>
          <w:sz w:val="24"/>
          <w:szCs w:val="24"/>
        </w:rPr>
        <w:t xml:space="preserve"> - </w:t>
      </w:r>
      <w:r w:rsidRPr="00E3014A">
        <w:rPr>
          <w:rFonts w:ascii="Arial" w:hAnsi="Arial" w:cs="Arial"/>
          <w:b/>
          <w:bCs/>
          <w:sz w:val="28"/>
          <w:szCs w:val="28"/>
        </w:rPr>
        <w:t>Do Nothing</w:t>
      </w:r>
    </w:p>
    <w:p w14:paraId="590617FC" w14:textId="1704FE03" w:rsidR="00142FC0" w:rsidRDefault="00142FC0" w:rsidP="00EA4FCA">
      <w:pPr>
        <w:ind w:left="720" w:hanging="720"/>
        <w:rPr>
          <w:rFonts w:ascii="Arial" w:hAnsi="Arial" w:cs="Arial"/>
          <w:sz w:val="24"/>
          <w:szCs w:val="24"/>
        </w:rPr>
      </w:pPr>
      <w:r>
        <w:rPr>
          <w:rFonts w:ascii="Arial" w:hAnsi="Arial" w:cs="Arial"/>
          <w:sz w:val="24"/>
          <w:szCs w:val="24"/>
        </w:rPr>
        <w:tab/>
        <w:t>Whilst “Do Nothing” is an option, it is not a practical one as the existing service agreement expires on 31</w:t>
      </w:r>
      <w:r w:rsidRPr="00142FC0">
        <w:rPr>
          <w:rFonts w:ascii="Arial" w:hAnsi="Arial" w:cs="Arial"/>
          <w:sz w:val="24"/>
          <w:szCs w:val="24"/>
          <w:vertAlign w:val="superscript"/>
        </w:rPr>
        <w:t>st</w:t>
      </w:r>
      <w:r>
        <w:rPr>
          <w:rFonts w:ascii="Arial" w:hAnsi="Arial" w:cs="Arial"/>
          <w:sz w:val="24"/>
          <w:szCs w:val="24"/>
        </w:rPr>
        <w:t xml:space="preserve"> March 2025 and there is no provision for </w:t>
      </w:r>
      <w:r w:rsidR="009D32D9">
        <w:rPr>
          <w:rFonts w:ascii="Arial" w:hAnsi="Arial" w:cs="Arial"/>
          <w:sz w:val="24"/>
          <w:szCs w:val="24"/>
        </w:rPr>
        <w:t xml:space="preserve">further </w:t>
      </w:r>
      <w:r>
        <w:rPr>
          <w:rFonts w:ascii="Arial" w:hAnsi="Arial" w:cs="Arial"/>
          <w:sz w:val="24"/>
          <w:szCs w:val="24"/>
        </w:rPr>
        <w:t>extension</w:t>
      </w:r>
      <w:r w:rsidR="009D32D9">
        <w:rPr>
          <w:rFonts w:ascii="Arial" w:hAnsi="Arial" w:cs="Arial"/>
          <w:sz w:val="24"/>
          <w:szCs w:val="24"/>
        </w:rPr>
        <w:t>s</w:t>
      </w:r>
      <w:r>
        <w:rPr>
          <w:rFonts w:ascii="Arial" w:hAnsi="Arial" w:cs="Arial"/>
          <w:sz w:val="24"/>
          <w:szCs w:val="24"/>
        </w:rPr>
        <w:t>.  Additionally, the work activities currently performed under the agreement could not be performed directly by London Borough of Harrow employees without additional resourcing and arrangements in place.</w:t>
      </w:r>
    </w:p>
    <w:p w14:paraId="687CD386" w14:textId="135577DD" w:rsidR="00142FC0" w:rsidRDefault="00142FC0" w:rsidP="00EA4FCA">
      <w:pPr>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Consequently, it </w:t>
      </w:r>
      <w:r w:rsidR="0058060E">
        <w:rPr>
          <w:rFonts w:ascii="Arial" w:hAnsi="Arial" w:cs="Arial"/>
          <w:sz w:val="24"/>
          <w:szCs w:val="24"/>
        </w:rPr>
        <w:t>i</w:t>
      </w:r>
      <w:r>
        <w:rPr>
          <w:rFonts w:ascii="Arial" w:hAnsi="Arial" w:cs="Arial"/>
          <w:sz w:val="24"/>
          <w:szCs w:val="24"/>
        </w:rPr>
        <w:t xml:space="preserve">s not proposed that this option be progressed.  </w:t>
      </w:r>
    </w:p>
    <w:p w14:paraId="138F8BDD" w14:textId="77777777" w:rsidR="00EA4FCA" w:rsidRDefault="00EA4FCA" w:rsidP="00EA4FCA">
      <w:pPr>
        <w:ind w:left="720" w:hanging="720"/>
        <w:rPr>
          <w:rFonts w:ascii="Arial" w:hAnsi="Arial" w:cs="Arial"/>
          <w:sz w:val="24"/>
          <w:szCs w:val="24"/>
        </w:rPr>
      </w:pPr>
    </w:p>
    <w:p w14:paraId="53758B82" w14:textId="77777777" w:rsidR="00EA4FCA" w:rsidRDefault="00EA4FCA" w:rsidP="00EA4FCA">
      <w:pPr>
        <w:ind w:left="720" w:hanging="720"/>
        <w:rPr>
          <w:rFonts w:ascii="Arial" w:hAnsi="Arial" w:cs="Arial"/>
          <w:sz w:val="24"/>
          <w:szCs w:val="24"/>
        </w:rPr>
      </w:pPr>
    </w:p>
    <w:p w14:paraId="495D7EEE" w14:textId="77777777" w:rsidR="00EA4FCA" w:rsidRPr="00142FC0" w:rsidRDefault="00EA4FCA" w:rsidP="00EA4FCA">
      <w:pPr>
        <w:ind w:left="720" w:hanging="720"/>
        <w:rPr>
          <w:rFonts w:ascii="Arial" w:hAnsi="Arial" w:cs="Arial"/>
          <w:sz w:val="24"/>
          <w:szCs w:val="24"/>
        </w:rPr>
      </w:pPr>
    </w:p>
    <w:p w14:paraId="6C9449DA" w14:textId="2F332754" w:rsidR="00891C03" w:rsidRPr="00E3014A" w:rsidRDefault="003B3B1F" w:rsidP="00EA4FCA">
      <w:pPr>
        <w:spacing w:after="0"/>
        <w:ind w:left="720" w:hanging="720"/>
        <w:rPr>
          <w:rFonts w:ascii="Arial" w:hAnsi="Arial" w:cs="Arial"/>
          <w:b/>
          <w:bCs/>
          <w:sz w:val="28"/>
          <w:szCs w:val="28"/>
        </w:rPr>
      </w:pPr>
      <w:r>
        <w:rPr>
          <w:rFonts w:ascii="Arial" w:hAnsi="Arial" w:cs="Arial"/>
          <w:b/>
          <w:bCs/>
          <w:sz w:val="24"/>
          <w:szCs w:val="24"/>
        </w:rPr>
        <w:lastRenderedPageBreak/>
        <w:t>2.6</w:t>
      </w:r>
      <w:r>
        <w:rPr>
          <w:rFonts w:ascii="Arial" w:hAnsi="Arial" w:cs="Arial"/>
          <w:b/>
          <w:bCs/>
          <w:sz w:val="24"/>
          <w:szCs w:val="24"/>
        </w:rPr>
        <w:tab/>
      </w:r>
      <w:r w:rsidR="00473B34">
        <w:rPr>
          <w:rFonts w:ascii="Arial" w:hAnsi="Arial" w:cs="Arial"/>
          <w:b/>
          <w:bCs/>
          <w:sz w:val="28"/>
          <w:szCs w:val="28"/>
        </w:rPr>
        <w:t xml:space="preserve">Option 2 - </w:t>
      </w:r>
      <w:r w:rsidR="00891C03" w:rsidRPr="00E3014A">
        <w:rPr>
          <w:rFonts w:ascii="Arial" w:hAnsi="Arial" w:cs="Arial"/>
          <w:b/>
          <w:bCs/>
          <w:sz w:val="28"/>
          <w:szCs w:val="28"/>
        </w:rPr>
        <w:t xml:space="preserve">Single </w:t>
      </w:r>
      <w:r w:rsidR="00221E62" w:rsidRPr="00E3014A">
        <w:rPr>
          <w:rFonts w:ascii="Arial" w:hAnsi="Arial" w:cs="Arial"/>
          <w:b/>
          <w:bCs/>
          <w:sz w:val="28"/>
          <w:szCs w:val="28"/>
        </w:rPr>
        <w:t xml:space="preserve">Agreement for </w:t>
      </w:r>
      <w:r w:rsidR="00891C03" w:rsidRPr="00E3014A">
        <w:rPr>
          <w:rFonts w:ascii="Arial" w:hAnsi="Arial" w:cs="Arial"/>
          <w:b/>
          <w:bCs/>
          <w:sz w:val="28"/>
          <w:szCs w:val="28"/>
        </w:rPr>
        <w:t>Resilience Services</w:t>
      </w:r>
    </w:p>
    <w:p w14:paraId="7BA46924" w14:textId="160C2CF6" w:rsidR="00FB4272" w:rsidRDefault="00ED744A" w:rsidP="00EA4FCA">
      <w:pPr>
        <w:spacing w:after="0"/>
        <w:ind w:left="720" w:hanging="720"/>
        <w:rPr>
          <w:rFonts w:ascii="Arial" w:hAnsi="Arial" w:cs="Arial"/>
          <w:sz w:val="24"/>
          <w:szCs w:val="24"/>
        </w:rPr>
      </w:pPr>
      <w:r>
        <w:rPr>
          <w:rFonts w:ascii="Arial" w:hAnsi="Arial" w:cs="Arial"/>
          <w:sz w:val="24"/>
          <w:szCs w:val="24"/>
        </w:rPr>
        <w:tab/>
      </w:r>
      <w:r w:rsidR="00891C03">
        <w:rPr>
          <w:rFonts w:ascii="Arial" w:hAnsi="Arial" w:cs="Arial"/>
          <w:sz w:val="24"/>
          <w:szCs w:val="24"/>
        </w:rPr>
        <w:t>I</w:t>
      </w:r>
      <w:r w:rsidR="002879AB" w:rsidRPr="00640163">
        <w:rPr>
          <w:rFonts w:ascii="Arial" w:hAnsi="Arial" w:cs="Arial"/>
          <w:sz w:val="24"/>
          <w:szCs w:val="24"/>
        </w:rPr>
        <w:t xml:space="preserve">f the </w:t>
      </w:r>
      <w:r w:rsidR="00891C03">
        <w:rPr>
          <w:rFonts w:ascii="Arial" w:hAnsi="Arial" w:cs="Arial"/>
          <w:sz w:val="24"/>
          <w:szCs w:val="24"/>
        </w:rPr>
        <w:t xml:space="preserve">current </w:t>
      </w:r>
      <w:r w:rsidR="002879AB" w:rsidRPr="00640163">
        <w:rPr>
          <w:rFonts w:ascii="Arial" w:hAnsi="Arial" w:cs="Arial"/>
          <w:sz w:val="24"/>
          <w:szCs w:val="24"/>
        </w:rPr>
        <w:t xml:space="preserve">services </w:t>
      </w:r>
      <w:r>
        <w:rPr>
          <w:rFonts w:ascii="Arial" w:hAnsi="Arial" w:cs="Arial"/>
          <w:sz w:val="24"/>
          <w:szCs w:val="24"/>
        </w:rPr>
        <w:t xml:space="preserve">in scope </w:t>
      </w:r>
      <w:r w:rsidR="002879AB" w:rsidRPr="00640163">
        <w:rPr>
          <w:rFonts w:ascii="Arial" w:hAnsi="Arial" w:cs="Arial"/>
          <w:sz w:val="24"/>
          <w:szCs w:val="24"/>
        </w:rPr>
        <w:t xml:space="preserve">were </w:t>
      </w:r>
      <w:r w:rsidR="007778CF">
        <w:rPr>
          <w:rFonts w:ascii="Arial" w:hAnsi="Arial" w:cs="Arial"/>
          <w:sz w:val="24"/>
          <w:szCs w:val="24"/>
        </w:rPr>
        <w:t>t</w:t>
      </w:r>
      <w:r w:rsidR="002879AB" w:rsidRPr="00640163">
        <w:rPr>
          <w:rFonts w:ascii="Arial" w:hAnsi="Arial" w:cs="Arial"/>
          <w:sz w:val="24"/>
          <w:szCs w:val="24"/>
        </w:rPr>
        <w:t xml:space="preserve">o be </w:t>
      </w:r>
      <w:r>
        <w:rPr>
          <w:rFonts w:ascii="Arial" w:hAnsi="Arial" w:cs="Arial"/>
          <w:sz w:val="24"/>
          <w:szCs w:val="24"/>
        </w:rPr>
        <w:t xml:space="preserve">procured </w:t>
      </w:r>
      <w:r w:rsidR="007778CF">
        <w:rPr>
          <w:rFonts w:ascii="Arial" w:hAnsi="Arial" w:cs="Arial"/>
          <w:sz w:val="24"/>
          <w:szCs w:val="24"/>
        </w:rPr>
        <w:t xml:space="preserve">exclusively </w:t>
      </w:r>
      <w:r w:rsidR="002879AB" w:rsidRPr="00640163">
        <w:rPr>
          <w:rFonts w:ascii="Arial" w:hAnsi="Arial" w:cs="Arial"/>
          <w:sz w:val="24"/>
          <w:szCs w:val="24"/>
        </w:rPr>
        <w:t xml:space="preserve">as resilience services, the </w:t>
      </w:r>
      <w:r w:rsidR="007778CF">
        <w:rPr>
          <w:rFonts w:ascii="Arial" w:hAnsi="Arial" w:cs="Arial"/>
          <w:sz w:val="24"/>
          <w:szCs w:val="24"/>
        </w:rPr>
        <w:t>level of competition is anticipated to be greater</w:t>
      </w:r>
      <w:r w:rsidR="00891C03">
        <w:rPr>
          <w:rFonts w:ascii="Arial" w:hAnsi="Arial" w:cs="Arial"/>
          <w:sz w:val="24"/>
          <w:szCs w:val="24"/>
        </w:rPr>
        <w:t xml:space="preserve"> than that for a combined resilience and outsourced service package</w:t>
      </w:r>
      <w:r w:rsidR="007778CF">
        <w:rPr>
          <w:rFonts w:ascii="Arial" w:hAnsi="Arial" w:cs="Arial"/>
          <w:sz w:val="24"/>
          <w:szCs w:val="24"/>
        </w:rPr>
        <w:t xml:space="preserve">, </w:t>
      </w:r>
      <w:r w:rsidR="00FB4272">
        <w:rPr>
          <w:rFonts w:ascii="Arial" w:hAnsi="Arial" w:cs="Arial"/>
          <w:sz w:val="24"/>
          <w:szCs w:val="24"/>
        </w:rPr>
        <w:t xml:space="preserve">and pricing would </w:t>
      </w:r>
      <w:r w:rsidR="00385AF7">
        <w:rPr>
          <w:rFonts w:ascii="Arial" w:hAnsi="Arial" w:cs="Arial"/>
          <w:sz w:val="24"/>
          <w:szCs w:val="24"/>
        </w:rPr>
        <w:t>be likely to</w:t>
      </w:r>
      <w:r w:rsidR="00FB4272">
        <w:rPr>
          <w:rFonts w:ascii="Arial" w:hAnsi="Arial" w:cs="Arial"/>
          <w:sz w:val="24"/>
          <w:szCs w:val="24"/>
        </w:rPr>
        <w:t xml:space="preserve"> reflect the level of competition. </w:t>
      </w:r>
    </w:p>
    <w:p w14:paraId="63C85A83" w14:textId="77777777" w:rsidR="003B3B1F" w:rsidRDefault="003B3B1F" w:rsidP="00EA4FCA">
      <w:pPr>
        <w:spacing w:after="0"/>
        <w:ind w:left="720" w:hanging="720"/>
        <w:rPr>
          <w:rFonts w:ascii="Arial" w:hAnsi="Arial" w:cs="Arial"/>
          <w:sz w:val="24"/>
          <w:szCs w:val="24"/>
        </w:rPr>
      </w:pPr>
    </w:p>
    <w:p w14:paraId="7B369A06" w14:textId="14A1C679" w:rsidR="00366AE1" w:rsidRDefault="00366AE1" w:rsidP="00EA4FCA">
      <w:pPr>
        <w:ind w:left="720" w:hanging="720"/>
        <w:rPr>
          <w:rFonts w:ascii="Arial" w:hAnsi="Arial" w:cs="Arial"/>
          <w:sz w:val="24"/>
          <w:szCs w:val="24"/>
        </w:rPr>
      </w:pPr>
      <w:r>
        <w:rPr>
          <w:rFonts w:ascii="Arial" w:hAnsi="Arial" w:cs="Arial"/>
          <w:sz w:val="24"/>
          <w:szCs w:val="24"/>
        </w:rPr>
        <w:tab/>
        <w:t>However, a</w:t>
      </w:r>
      <w:r w:rsidR="007778CF">
        <w:rPr>
          <w:rFonts w:ascii="Arial" w:hAnsi="Arial" w:cs="Arial"/>
          <w:sz w:val="24"/>
          <w:szCs w:val="24"/>
        </w:rPr>
        <w:t xml:space="preserve">ttainment </w:t>
      </w:r>
      <w:r>
        <w:rPr>
          <w:rFonts w:ascii="Arial" w:hAnsi="Arial" w:cs="Arial"/>
          <w:sz w:val="24"/>
          <w:szCs w:val="24"/>
        </w:rPr>
        <w:t xml:space="preserve">of the above, would require additional resource capacity to be created </w:t>
      </w:r>
      <w:r w:rsidR="006322CA">
        <w:rPr>
          <w:rFonts w:ascii="Arial" w:hAnsi="Arial" w:cs="Arial"/>
          <w:sz w:val="24"/>
          <w:szCs w:val="24"/>
        </w:rPr>
        <w:t xml:space="preserve">directly </w:t>
      </w:r>
      <w:r>
        <w:rPr>
          <w:rFonts w:ascii="Arial" w:hAnsi="Arial" w:cs="Arial"/>
          <w:sz w:val="24"/>
          <w:szCs w:val="24"/>
        </w:rPr>
        <w:t>by London Borough of Harrow (LBH), as insufficient</w:t>
      </w:r>
      <w:r w:rsidR="006322CA">
        <w:rPr>
          <w:rFonts w:ascii="Arial" w:hAnsi="Arial" w:cs="Arial"/>
          <w:sz w:val="24"/>
          <w:szCs w:val="24"/>
        </w:rPr>
        <w:t xml:space="preserve"> </w:t>
      </w:r>
      <w:r>
        <w:rPr>
          <w:rFonts w:ascii="Arial" w:hAnsi="Arial" w:cs="Arial"/>
          <w:sz w:val="24"/>
          <w:szCs w:val="24"/>
        </w:rPr>
        <w:t xml:space="preserve">capacity </w:t>
      </w:r>
      <w:r w:rsidR="007778CF">
        <w:rPr>
          <w:rFonts w:ascii="Arial" w:hAnsi="Arial" w:cs="Arial"/>
          <w:sz w:val="24"/>
          <w:szCs w:val="24"/>
        </w:rPr>
        <w:t xml:space="preserve">exists </w:t>
      </w:r>
      <w:r w:rsidR="006322CA">
        <w:rPr>
          <w:rFonts w:ascii="Arial" w:hAnsi="Arial" w:cs="Arial"/>
          <w:sz w:val="24"/>
          <w:szCs w:val="24"/>
        </w:rPr>
        <w:t xml:space="preserve">at present </w:t>
      </w:r>
      <w:r>
        <w:rPr>
          <w:rFonts w:ascii="Arial" w:hAnsi="Arial" w:cs="Arial"/>
          <w:sz w:val="24"/>
          <w:szCs w:val="24"/>
        </w:rPr>
        <w:t>to support th</w:t>
      </w:r>
      <w:r w:rsidR="00FB4272">
        <w:rPr>
          <w:rFonts w:ascii="Arial" w:hAnsi="Arial" w:cs="Arial"/>
          <w:sz w:val="24"/>
          <w:szCs w:val="24"/>
        </w:rPr>
        <w:t xml:space="preserve">is option.  </w:t>
      </w:r>
      <w:r>
        <w:rPr>
          <w:rFonts w:ascii="Arial" w:hAnsi="Arial" w:cs="Arial"/>
          <w:sz w:val="24"/>
          <w:szCs w:val="24"/>
        </w:rPr>
        <w:t>In particular, Housing Benefit Overpayments, Business Rates</w:t>
      </w:r>
      <w:r w:rsidR="007778CF">
        <w:rPr>
          <w:rFonts w:ascii="Arial" w:hAnsi="Arial" w:cs="Arial"/>
          <w:sz w:val="24"/>
          <w:szCs w:val="24"/>
        </w:rPr>
        <w:t xml:space="preserve">, </w:t>
      </w:r>
      <w:r>
        <w:rPr>
          <w:rFonts w:ascii="Arial" w:hAnsi="Arial" w:cs="Arial"/>
          <w:sz w:val="24"/>
          <w:szCs w:val="24"/>
        </w:rPr>
        <w:t xml:space="preserve">and Valuation work activities associated with Council Tax and Business Rates, are not currently resourced directly by LBH.  </w:t>
      </w:r>
    </w:p>
    <w:p w14:paraId="72F3F850" w14:textId="21903B8E" w:rsidR="00366AE1" w:rsidRDefault="00142FC0" w:rsidP="00EA4FCA">
      <w:pPr>
        <w:ind w:left="720" w:hanging="720"/>
        <w:rPr>
          <w:rFonts w:ascii="Arial" w:hAnsi="Arial" w:cs="Arial"/>
          <w:sz w:val="24"/>
          <w:szCs w:val="24"/>
        </w:rPr>
      </w:pPr>
      <w:r>
        <w:rPr>
          <w:rFonts w:ascii="Arial" w:hAnsi="Arial" w:cs="Arial"/>
          <w:sz w:val="24"/>
          <w:szCs w:val="24"/>
        </w:rPr>
        <w:tab/>
      </w:r>
      <w:r w:rsidR="00366AE1">
        <w:rPr>
          <w:rFonts w:ascii="Arial" w:hAnsi="Arial" w:cs="Arial"/>
          <w:sz w:val="24"/>
          <w:szCs w:val="24"/>
        </w:rPr>
        <w:t>The roles that would need to be created</w:t>
      </w:r>
      <w:r w:rsidR="00891C03">
        <w:rPr>
          <w:rFonts w:ascii="Arial" w:hAnsi="Arial" w:cs="Arial"/>
          <w:sz w:val="24"/>
          <w:szCs w:val="24"/>
        </w:rPr>
        <w:t xml:space="preserve"> by LBH </w:t>
      </w:r>
      <w:r w:rsidR="00366AE1">
        <w:rPr>
          <w:rFonts w:ascii="Arial" w:hAnsi="Arial" w:cs="Arial"/>
          <w:sz w:val="24"/>
          <w:szCs w:val="24"/>
        </w:rPr>
        <w:t xml:space="preserve">to </w:t>
      </w:r>
      <w:r w:rsidR="002167B7">
        <w:rPr>
          <w:rFonts w:ascii="Arial" w:hAnsi="Arial" w:cs="Arial"/>
          <w:sz w:val="24"/>
          <w:szCs w:val="24"/>
        </w:rPr>
        <w:t xml:space="preserve">support this option, </w:t>
      </w:r>
      <w:r w:rsidR="00366AE1">
        <w:rPr>
          <w:rFonts w:ascii="Arial" w:hAnsi="Arial" w:cs="Arial"/>
          <w:sz w:val="24"/>
          <w:szCs w:val="24"/>
        </w:rPr>
        <w:t xml:space="preserve">would be </w:t>
      </w:r>
      <w:r w:rsidR="00891C03">
        <w:rPr>
          <w:rFonts w:ascii="Arial" w:hAnsi="Arial" w:cs="Arial"/>
          <w:sz w:val="24"/>
          <w:szCs w:val="24"/>
        </w:rPr>
        <w:t xml:space="preserve">relatively </w:t>
      </w:r>
      <w:r w:rsidR="00366AE1">
        <w:rPr>
          <w:rFonts w:ascii="Arial" w:hAnsi="Arial" w:cs="Arial"/>
          <w:sz w:val="24"/>
          <w:szCs w:val="24"/>
        </w:rPr>
        <w:t xml:space="preserve">small in number, as the caseload for the services </w:t>
      </w:r>
      <w:r w:rsidR="00891C03">
        <w:rPr>
          <w:rFonts w:ascii="Arial" w:hAnsi="Arial" w:cs="Arial"/>
          <w:sz w:val="24"/>
          <w:szCs w:val="24"/>
        </w:rPr>
        <w:t xml:space="preserve">concerned </w:t>
      </w:r>
      <w:r w:rsidR="00366AE1">
        <w:rPr>
          <w:rFonts w:ascii="Arial" w:hAnsi="Arial" w:cs="Arial"/>
          <w:sz w:val="24"/>
          <w:szCs w:val="24"/>
        </w:rPr>
        <w:t>is small.  They would</w:t>
      </w:r>
      <w:r w:rsidR="00891C03">
        <w:rPr>
          <w:rFonts w:ascii="Arial" w:hAnsi="Arial" w:cs="Arial"/>
          <w:sz w:val="24"/>
          <w:szCs w:val="24"/>
        </w:rPr>
        <w:t xml:space="preserve">, however, </w:t>
      </w:r>
      <w:r w:rsidR="002167B7">
        <w:rPr>
          <w:rFonts w:ascii="Arial" w:hAnsi="Arial" w:cs="Arial"/>
          <w:sz w:val="24"/>
          <w:szCs w:val="24"/>
        </w:rPr>
        <w:t xml:space="preserve">principally </w:t>
      </w:r>
      <w:r w:rsidR="00366AE1">
        <w:rPr>
          <w:rFonts w:ascii="Arial" w:hAnsi="Arial" w:cs="Arial"/>
          <w:sz w:val="24"/>
          <w:szCs w:val="24"/>
        </w:rPr>
        <w:t>be “niche” roles</w:t>
      </w:r>
      <w:r w:rsidR="00891C03">
        <w:rPr>
          <w:rFonts w:ascii="Arial" w:hAnsi="Arial" w:cs="Arial"/>
          <w:sz w:val="24"/>
          <w:szCs w:val="24"/>
        </w:rPr>
        <w:t xml:space="preserve">, </w:t>
      </w:r>
      <w:r w:rsidR="00366AE1">
        <w:rPr>
          <w:rFonts w:ascii="Arial" w:hAnsi="Arial" w:cs="Arial"/>
          <w:sz w:val="24"/>
          <w:szCs w:val="24"/>
        </w:rPr>
        <w:t xml:space="preserve">with the consequence that recruitment and retention of employees </w:t>
      </w:r>
      <w:r w:rsidR="00B4228B">
        <w:rPr>
          <w:rFonts w:ascii="Arial" w:hAnsi="Arial" w:cs="Arial"/>
          <w:sz w:val="24"/>
          <w:szCs w:val="24"/>
        </w:rPr>
        <w:t xml:space="preserve">with the </w:t>
      </w:r>
      <w:r w:rsidR="00891C03">
        <w:rPr>
          <w:rFonts w:ascii="Arial" w:hAnsi="Arial" w:cs="Arial"/>
          <w:sz w:val="24"/>
          <w:szCs w:val="24"/>
        </w:rPr>
        <w:t xml:space="preserve">associated </w:t>
      </w:r>
      <w:r w:rsidR="00B4228B">
        <w:rPr>
          <w:rFonts w:ascii="Arial" w:hAnsi="Arial" w:cs="Arial"/>
          <w:sz w:val="24"/>
          <w:szCs w:val="24"/>
        </w:rPr>
        <w:t xml:space="preserve">knowledge and experience necessary </w:t>
      </w:r>
      <w:r w:rsidR="00366AE1">
        <w:rPr>
          <w:rFonts w:ascii="Arial" w:hAnsi="Arial" w:cs="Arial"/>
          <w:sz w:val="24"/>
          <w:szCs w:val="24"/>
        </w:rPr>
        <w:t xml:space="preserve">to perform those services, is anticipated, from experience, to be challenging and </w:t>
      </w:r>
      <w:r w:rsidR="00B4228B">
        <w:rPr>
          <w:rFonts w:ascii="Arial" w:hAnsi="Arial" w:cs="Arial"/>
          <w:sz w:val="24"/>
          <w:szCs w:val="24"/>
        </w:rPr>
        <w:t xml:space="preserve">was </w:t>
      </w:r>
      <w:r w:rsidR="00366AE1">
        <w:rPr>
          <w:rFonts w:ascii="Arial" w:hAnsi="Arial" w:cs="Arial"/>
          <w:sz w:val="24"/>
          <w:szCs w:val="24"/>
        </w:rPr>
        <w:t xml:space="preserve">one of the key reasons for </w:t>
      </w:r>
      <w:r w:rsidR="002167B7">
        <w:rPr>
          <w:rFonts w:ascii="Arial" w:hAnsi="Arial" w:cs="Arial"/>
          <w:sz w:val="24"/>
          <w:szCs w:val="24"/>
        </w:rPr>
        <w:t xml:space="preserve">recommending the </w:t>
      </w:r>
      <w:r w:rsidR="00366AE1">
        <w:rPr>
          <w:rFonts w:ascii="Arial" w:hAnsi="Arial" w:cs="Arial"/>
          <w:sz w:val="24"/>
          <w:szCs w:val="24"/>
        </w:rPr>
        <w:t xml:space="preserve">outsourcing </w:t>
      </w:r>
      <w:r w:rsidR="002167B7">
        <w:rPr>
          <w:rFonts w:ascii="Arial" w:hAnsi="Arial" w:cs="Arial"/>
          <w:sz w:val="24"/>
          <w:szCs w:val="24"/>
        </w:rPr>
        <w:t xml:space="preserve">of </w:t>
      </w:r>
      <w:r w:rsidR="00366AE1">
        <w:rPr>
          <w:rFonts w:ascii="Arial" w:hAnsi="Arial" w:cs="Arial"/>
          <w:sz w:val="24"/>
          <w:szCs w:val="24"/>
        </w:rPr>
        <w:t>those service</w:t>
      </w:r>
      <w:r w:rsidR="00891C03">
        <w:rPr>
          <w:rFonts w:ascii="Arial" w:hAnsi="Arial" w:cs="Arial"/>
          <w:sz w:val="24"/>
          <w:szCs w:val="24"/>
        </w:rPr>
        <w:t xml:space="preserve"> activities p</w:t>
      </w:r>
      <w:r w:rsidR="00366AE1">
        <w:rPr>
          <w:rFonts w:ascii="Arial" w:hAnsi="Arial" w:cs="Arial"/>
          <w:sz w:val="24"/>
          <w:szCs w:val="24"/>
        </w:rPr>
        <w:t xml:space="preserve">reviously.   </w:t>
      </w:r>
    </w:p>
    <w:p w14:paraId="52005153" w14:textId="27764166" w:rsidR="006322CA" w:rsidRDefault="00B4228B" w:rsidP="00EA4FCA">
      <w:pPr>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322CA">
        <w:rPr>
          <w:rFonts w:ascii="Arial" w:hAnsi="Arial" w:cs="Arial"/>
          <w:sz w:val="24"/>
          <w:szCs w:val="24"/>
        </w:rPr>
        <w:t>S</w:t>
      </w:r>
      <w:r w:rsidR="007778CF">
        <w:rPr>
          <w:rFonts w:ascii="Arial" w:hAnsi="Arial" w:cs="Arial"/>
          <w:sz w:val="24"/>
          <w:szCs w:val="24"/>
        </w:rPr>
        <w:t xml:space="preserve">uppliers </w:t>
      </w:r>
      <w:r w:rsidR="002167B7">
        <w:rPr>
          <w:rFonts w:ascii="Arial" w:hAnsi="Arial" w:cs="Arial"/>
          <w:sz w:val="24"/>
          <w:szCs w:val="24"/>
        </w:rPr>
        <w:t xml:space="preserve">that deliver </w:t>
      </w:r>
      <w:r w:rsidR="00891C03">
        <w:rPr>
          <w:rFonts w:ascii="Arial" w:hAnsi="Arial" w:cs="Arial"/>
          <w:sz w:val="24"/>
          <w:szCs w:val="24"/>
        </w:rPr>
        <w:t xml:space="preserve">such </w:t>
      </w:r>
      <w:r w:rsidR="007778CF">
        <w:rPr>
          <w:rFonts w:ascii="Arial" w:hAnsi="Arial" w:cs="Arial"/>
          <w:sz w:val="24"/>
          <w:szCs w:val="24"/>
        </w:rPr>
        <w:t>“niche” services</w:t>
      </w:r>
      <w:r w:rsidR="006322CA">
        <w:rPr>
          <w:rFonts w:ascii="Arial" w:hAnsi="Arial" w:cs="Arial"/>
          <w:sz w:val="24"/>
          <w:szCs w:val="24"/>
        </w:rPr>
        <w:t xml:space="preserve">, </w:t>
      </w:r>
      <w:r w:rsidR="002167B7">
        <w:rPr>
          <w:rFonts w:ascii="Arial" w:hAnsi="Arial" w:cs="Arial"/>
          <w:sz w:val="24"/>
          <w:szCs w:val="24"/>
        </w:rPr>
        <w:t xml:space="preserve">are </w:t>
      </w:r>
      <w:r w:rsidR="00891C03">
        <w:rPr>
          <w:rFonts w:ascii="Arial" w:hAnsi="Arial" w:cs="Arial"/>
          <w:sz w:val="24"/>
          <w:szCs w:val="24"/>
        </w:rPr>
        <w:t xml:space="preserve">often </w:t>
      </w:r>
      <w:r w:rsidR="002167B7">
        <w:rPr>
          <w:rFonts w:ascii="Arial" w:hAnsi="Arial" w:cs="Arial"/>
          <w:sz w:val="24"/>
          <w:szCs w:val="24"/>
        </w:rPr>
        <w:t xml:space="preserve">able to </w:t>
      </w:r>
      <w:r w:rsidR="007778CF">
        <w:rPr>
          <w:rFonts w:ascii="Arial" w:hAnsi="Arial" w:cs="Arial"/>
          <w:sz w:val="24"/>
          <w:szCs w:val="24"/>
        </w:rPr>
        <w:t xml:space="preserve">recruit suitably experienced employees to operate across </w:t>
      </w:r>
      <w:r w:rsidR="0098239F">
        <w:rPr>
          <w:rFonts w:ascii="Arial" w:hAnsi="Arial" w:cs="Arial"/>
          <w:sz w:val="24"/>
          <w:szCs w:val="24"/>
        </w:rPr>
        <w:t xml:space="preserve">multiple contracts, </w:t>
      </w:r>
      <w:r w:rsidR="007778CF">
        <w:rPr>
          <w:rFonts w:ascii="Arial" w:hAnsi="Arial" w:cs="Arial"/>
          <w:sz w:val="24"/>
          <w:szCs w:val="24"/>
        </w:rPr>
        <w:t>thereby securing</w:t>
      </w:r>
      <w:r w:rsidR="006322CA">
        <w:rPr>
          <w:rFonts w:ascii="Arial" w:hAnsi="Arial" w:cs="Arial"/>
          <w:sz w:val="24"/>
          <w:szCs w:val="24"/>
        </w:rPr>
        <w:t xml:space="preserve"> levels of </w:t>
      </w:r>
      <w:r w:rsidR="007778CF">
        <w:rPr>
          <w:rFonts w:ascii="Arial" w:hAnsi="Arial" w:cs="Arial"/>
          <w:sz w:val="24"/>
          <w:szCs w:val="24"/>
        </w:rPr>
        <w:t xml:space="preserve">resilience and a more efficient </w:t>
      </w:r>
      <w:r w:rsidR="00891C03">
        <w:rPr>
          <w:rFonts w:ascii="Arial" w:hAnsi="Arial" w:cs="Arial"/>
          <w:sz w:val="24"/>
          <w:szCs w:val="24"/>
        </w:rPr>
        <w:t xml:space="preserve">cost </w:t>
      </w:r>
      <w:r w:rsidR="007778CF">
        <w:rPr>
          <w:rFonts w:ascii="Arial" w:hAnsi="Arial" w:cs="Arial"/>
          <w:sz w:val="24"/>
          <w:szCs w:val="24"/>
        </w:rPr>
        <w:t xml:space="preserve">allocation </w:t>
      </w:r>
      <w:r w:rsidR="00891C03">
        <w:rPr>
          <w:rFonts w:ascii="Arial" w:hAnsi="Arial" w:cs="Arial"/>
          <w:sz w:val="24"/>
          <w:szCs w:val="24"/>
        </w:rPr>
        <w:t xml:space="preserve">than </w:t>
      </w:r>
      <w:r w:rsidR="002167B7">
        <w:rPr>
          <w:rFonts w:ascii="Arial" w:hAnsi="Arial" w:cs="Arial"/>
          <w:sz w:val="24"/>
          <w:szCs w:val="24"/>
        </w:rPr>
        <w:t>London Borough of Harrow wo</w:t>
      </w:r>
      <w:r w:rsidR="006322CA">
        <w:rPr>
          <w:rFonts w:ascii="Arial" w:hAnsi="Arial" w:cs="Arial"/>
          <w:sz w:val="24"/>
          <w:szCs w:val="24"/>
        </w:rPr>
        <w:t xml:space="preserve">uld be </w:t>
      </w:r>
      <w:r w:rsidR="002167B7">
        <w:rPr>
          <w:rFonts w:ascii="Arial" w:hAnsi="Arial" w:cs="Arial"/>
          <w:sz w:val="24"/>
          <w:szCs w:val="24"/>
        </w:rPr>
        <w:t xml:space="preserve">likely </w:t>
      </w:r>
      <w:r w:rsidR="006322CA">
        <w:rPr>
          <w:rFonts w:ascii="Arial" w:hAnsi="Arial" w:cs="Arial"/>
          <w:sz w:val="24"/>
          <w:szCs w:val="24"/>
        </w:rPr>
        <w:t>to achieve</w:t>
      </w:r>
      <w:r w:rsidR="00FB4272">
        <w:rPr>
          <w:rFonts w:ascii="Arial" w:hAnsi="Arial" w:cs="Arial"/>
          <w:sz w:val="24"/>
          <w:szCs w:val="24"/>
        </w:rPr>
        <w:t xml:space="preserve"> for direct in-house provision</w:t>
      </w:r>
      <w:r w:rsidR="006322CA">
        <w:rPr>
          <w:rFonts w:ascii="Arial" w:hAnsi="Arial" w:cs="Arial"/>
          <w:sz w:val="24"/>
          <w:szCs w:val="24"/>
        </w:rPr>
        <w:t xml:space="preserve">. </w:t>
      </w:r>
    </w:p>
    <w:p w14:paraId="3E86DE29" w14:textId="1A9F31F7" w:rsidR="002167B7" w:rsidRDefault="00891C03" w:rsidP="00EA4FCA">
      <w:pPr>
        <w:ind w:left="720" w:hanging="720"/>
        <w:rPr>
          <w:rFonts w:ascii="Arial" w:hAnsi="Arial" w:cs="Arial"/>
          <w:sz w:val="24"/>
          <w:szCs w:val="24"/>
        </w:rPr>
      </w:pPr>
      <w:r>
        <w:rPr>
          <w:rFonts w:ascii="Arial" w:hAnsi="Arial" w:cs="Arial"/>
          <w:sz w:val="24"/>
          <w:szCs w:val="24"/>
        </w:rPr>
        <w:tab/>
        <w:t xml:space="preserve">In view of the </w:t>
      </w:r>
      <w:r w:rsidR="002167B7">
        <w:rPr>
          <w:rFonts w:ascii="Arial" w:hAnsi="Arial" w:cs="Arial"/>
          <w:sz w:val="24"/>
          <w:szCs w:val="24"/>
        </w:rPr>
        <w:t xml:space="preserve">proportion of time that may </w:t>
      </w:r>
      <w:r w:rsidR="00FB4272">
        <w:rPr>
          <w:rFonts w:ascii="Arial" w:hAnsi="Arial" w:cs="Arial"/>
          <w:sz w:val="24"/>
          <w:szCs w:val="24"/>
        </w:rPr>
        <w:t xml:space="preserve">currently </w:t>
      </w:r>
      <w:r w:rsidR="002167B7">
        <w:rPr>
          <w:rFonts w:ascii="Arial" w:hAnsi="Arial" w:cs="Arial"/>
          <w:sz w:val="24"/>
          <w:szCs w:val="24"/>
        </w:rPr>
        <w:t xml:space="preserve">be spent on London Borough of Harrow contract work by such </w:t>
      </w:r>
      <w:r>
        <w:rPr>
          <w:rFonts w:ascii="Arial" w:hAnsi="Arial" w:cs="Arial"/>
          <w:sz w:val="24"/>
          <w:szCs w:val="24"/>
        </w:rPr>
        <w:t>“niche” resources</w:t>
      </w:r>
      <w:r w:rsidR="002167B7">
        <w:rPr>
          <w:rFonts w:ascii="Arial" w:hAnsi="Arial" w:cs="Arial"/>
          <w:sz w:val="24"/>
          <w:szCs w:val="24"/>
        </w:rPr>
        <w:t xml:space="preserve">, there is </w:t>
      </w:r>
      <w:r w:rsidR="00FB4272">
        <w:rPr>
          <w:rFonts w:ascii="Arial" w:hAnsi="Arial" w:cs="Arial"/>
          <w:sz w:val="24"/>
          <w:szCs w:val="24"/>
        </w:rPr>
        <w:t xml:space="preserve">the </w:t>
      </w:r>
      <w:r w:rsidR="002167B7">
        <w:rPr>
          <w:rFonts w:ascii="Arial" w:hAnsi="Arial" w:cs="Arial"/>
          <w:sz w:val="24"/>
          <w:szCs w:val="24"/>
        </w:rPr>
        <w:t>potential risk that there may be in</w:t>
      </w:r>
      <w:r>
        <w:rPr>
          <w:rFonts w:ascii="Arial" w:hAnsi="Arial" w:cs="Arial"/>
          <w:sz w:val="24"/>
          <w:szCs w:val="24"/>
        </w:rPr>
        <w:t>sufficient</w:t>
      </w:r>
      <w:r w:rsidR="002167B7">
        <w:rPr>
          <w:rFonts w:ascii="Arial" w:hAnsi="Arial" w:cs="Arial"/>
          <w:sz w:val="24"/>
          <w:szCs w:val="24"/>
        </w:rPr>
        <w:t xml:space="preserve"> </w:t>
      </w:r>
      <w:r>
        <w:rPr>
          <w:rFonts w:ascii="Arial" w:hAnsi="Arial" w:cs="Arial"/>
          <w:sz w:val="24"/>
          <w:szCs w:val="24"/>
        </w:rPr>
        <w:t>employees</w:t>
      </w:r>
      <w:r w:rsidR="002167B7">
        <w:rPr>
          <w:rFonts w:ascii="Arial" w:hAnsi="Arial" w:cs="Arial"/>
          <w:sz w:val="24"/>
          <w:szCs w:val="24"/>
        </w:rPr>
        <w:t xml:space="preserve"> that would transfer to </w:t>
      </w:r>
      <w:r w:rsidR="000C029D">
        <w:rPr>
          <w:rFonts w:ascii="Arial" w:hAnsi="Arial" w:cs="Arial"/>
          <w:sz w:val="24"/>
          <w:szCs w:val="24"/>
        </w:rPr>
        <w:t>LBH</w:t>
      </w:r>
      <w:r w:rsidR="002167B7">
        <w:rPr>
          <w:rFonts w:ascii="Arial" w:hAnsi="Arial" w:cs="Arial"/>
          <w:sz w:val="24"/>
          <w:szCs w:val="24"/>
        </w:rPr>
        <w:t xml:space="preserve"> under the Transfer of Undertakings </w:t>
      </w:r>
      <w:r w:rsidR="000C029D">
        <w:rPr>
          <w:rFonts w:ascii="Arial" w:hAnsi="Arial" w:cs="Arial"/>
          <w:sz w:val="24"/>
          <w:szCs w:val="24"/>
        </w:rPr>
        <w:t>(</w:t>
      </w:r>
      <w:r w:rsidR="002167B7">
        <w:rPr>
          <w:rFonts w:ascii="Arial" w:hAnsi="Arial" w:cs="Arial"/>
          <w:sz w:val="24"/>
          <w:szCs w:val="24"/>
        </w:rPr>
        <w:t>Protection of Employment</w:t>
      </w:r>
      <w:r w:rsidR="000C029D">
        <w:rPr>
          <w:rFonts w:ascii="Arial" w:hAnsi="Arial" w:cs="Arial"/>
          <w:sz w:val="24"/>
          <w:szCs w:val="24"/>
        </w:rPr>
        <w:t>)</w:t>
      </w:r>
      <w:r w:rsidR="008176BD">
        <w:rPr>
          <w:rFonts w:ascii="Arial" w:hAnsi="Arial" w:cs="Arial"/>
          <w:sz w:val="24"/>
          <w:szCs w:val="24"/>
        </w:rPr>
        <w:t xml:space="preserve"> </w:t>
      </w:r>
      <w:r w:rsidR="00975410">
        <w:rPr>
          <w:rFonts w:ascii="Arial" w:hAnsi="Arial" w:cs="Arial"/>
          <w:sz w:val="24"/>
          <w:szCs w:val="24"/>
        </w:rPr>
        <w:t>Regulations</w:t>
      </w:r>
      <w:r w:rsidR="000C029D">
        <w:rPr>
          <w:rFonts w:ascii="Arial" w:hAnsi="Arial" w:cs="Arial"/>
          <w:sz w:val="24"/>
          <w:szCs w:val="24"/>
        </w:rPr>
        <w:t xml:space="preserve"> (“TUPE”) </w:t>
      </w:r>
      <w:r w:rsidR="00975410">
        <w:rPr>
          <w:rFonts w:ascii="Arial" w:hAnsi="Arial" w:cs="Arial"/>
          <w:sz w:val="24"/>
          <w:szCs w:val="24"/>
        </w:rPr>
        <w:t xml:space="preserve"> </w:t>
      </w:r>
      <w:r w:rsidR="002167B7">
        <w:rPr>
          <w:rFonts w:ascii="Arial" w:hAnsi="Arial" w:cs="Arial"/>
          <w:sz w:val="24"/>
          <w:szCs w:val="24"/>
        </w:rPr>
        <w:t xml:space="preserve">in relation to this option. </w:t>
      </w:r>
    </w:p>
    <w:p w14:paraId="40594A8D" w14:textId="25FBD802" w:rsidR="006322CA" w:rsidRDefault="006322CA" w:rsidP="00EA4FCA">
      <w:pPr>
        <w:ind w:left="720" w:hanging="720"/>
        <w:rPr>
          <w:rFonts w:ascii="Arial" w:hAnsi="Arial" w:cs="Arial"/>
          <w:sz w:val="24"/>
          <w:szCs w:val="24"/>
        </w:rPr>
      </w:pPr>
      <w:r>
        <w:rPr>
          <w:rFonts w:ascii="Arial" w:hAnsi="Arial" w:cs="Arial"/>
          <w:sz w:val="24"/>
          <w:szCs w:val="24"/>
        </w:rPr>
        <w:tab/>
        <w:t xml:space="preserve">Consequently, the option of creating a single resilience service contract for delivery of the services in scope, </w:t>
      </w:r>
      <w:r w:rsidR="002167B7">
        <w:rPr>
          <w:rFonts w:ascii="Arial" w:hAnsi="Arial" w:cs="Arial"/>
          <w:sz w:val="24"/>
          <w:szCs w:val="24"/>
        </w:rPr>
        <w:t xml:space="preserve">is not proposed.  </w:t>
      </w:r>
      <w:r>
        <w:rPr>
          <w:rFonts w:ascii="Arial" w:hAnsi="Arial" w:cs="Arial"/>
          <w:sz w:val="24"/>
          <w:szCs w:val="24"/>
        </w:rPr>
        <w:t xml:space="preserve">   </w:t>
      </w:r>
    </w:p>
    <w:p w14:paraId="16C80A76" w14:textId="24E74AAC" w:rsidR="0098239F" w:rsidRPr="00E3014A" w:rsidRDefault="003B3B1F" w:rsidP="00EA4FCA">
      <w:pPr>
        <w:spacing w:after="0"/>
        <w:ind w:left="720" w:hanging="720"/>
        <w:rPr>
          <w:rFonts w:ascii="Arial" w:hAnsi="Arial" w:cs="Arial"/>
          <w:b/>
          <w:bCs/>
          <w:sz w:val="28"/>
          <w:szCs w:val="28"/>
        </w:rPr>
      </w:pPr>
      <w:r>
        <w:rPr>
          <w:rFonts w:ascii="Arial" w:hAnsi="Arial" w:cs="Arial"/>
          <w:b/>
          <w:bCs/>
          <w:sz w:val="28"/>
          <w:szCs w:val="28"/>
        </w:rPr>
        <w:t>2.7</w:t>
      </w:r>
      <w:r>
        <w:rPr>
          <w:rFonts w:ascii="Arial" w:hAnsi="Arial" w:cs="Arial"/>
          <w:b/>
          <w:bCs/>
          <w:sz w:val="28"/>
          <w:szCs w:val="28"/>
        </w:rPr>
        <w:tab/>
      </w:r>
      <w:r w:rsidR="00473B34">
        <w:rPr>
          <w:rFonts w:ascii="Arial" w:hAnsi="Arial" w:cs="Arial"/>
          <w:b/>
          <w:bCs/>
          <w:sz w:val="28"/>
          <w:szCs w:val="28"/>
        </w:rPr>
        <w:t xml:space="preserve">Option 3 - </w:t>
      </w:r>
      <w:r w:rsidR="0098239F" w:rsidRPr="00E3014A">
        <w:rPr>
          <w:rFonts w:ascii="Arial" w:hAnsi="Arial" w:cs="Arial"/>
          <w:b/>
          <w:bCs/>
          <w:sz w:val="28"/>
          <w:szCs w:val="28"/>
        </w:rPr>
        <w:t xml:space="preserve">Separate Outsourcing and Resilience Service </w:t>
      </w:r>
      <w:r w:rsidR="00221E62" w:rsidRPr="00E3014A">
        <w:rPr>
          <w:rFonts w:ascii="Arial" w:hAnsi="Arial" w:cs="Arial"/>
          <w:b/>
          <w:bCs/>
          <w:sz w:val="28"/>
          <w:szCs w:val="28"/>
        </w:rPr>
        <w:t>Agreements</w:t>
      </w:r>
    </w:p>
    <w:p w14:paraId="165E40C5" w14:textId="52E9A2D1" w:rsidR="00201BAE" w:rsidRDefault="00201BAE" w:rsidP="00EA4FCA">
      <w:pPr>
        <w:ind w:left="720" w:hanging="720"/>
        <w:rPr>
          <w:rFonts w:ascii="Arial" w:hAnsi="Arial" w:cs="Arial"/>
          <w:sz w:val="24"/>
          <w:szCs w:val="24"/>
        </w:rPr>
      </w:pPr>
      <w:r>
        <w:rPr>
          <w:rFonts w:ascii="Arial" w:hAnsi="Arial" w:cs="Arial"/>
          <w:sz w:val="24"/>
          <w:szCs w:val="24"/>
        </w:rPr>
        <w:tab/>
      </w:r>
      <w:r w:rsidR="009703B7" w:rsidRPr="00640163">
        <w:rPr>
          <w:rFonts w:ascii="Arial" w:hAnsi="Arial" w:cs="Arial"/>
          <w:sz w:val="24"/>
          <w:szCs w:val="24"/>
        </w:rPr>
        <w:t xml:space="preserve">Consideration has </w:t>
      </w:r>
      <w:r w:rsidR="0098239F">
        <w:rPr>
          <w:rFonts w:ascii="Arial" w:hAnsi="Arial" w:cs="Arial"/>
          <w:sz w:val="24"/>
          <w:szCs w:val="24"/>
        </w:rPr>
        <w:t xml:space="preserve">also </w:t>
      </w:r>
      <w:r w:rsidR="009703B7" w:rsidRPr="00640163">
        <w:rPr>
          <w:rFonts w:ascii="Arial" w:hAnsi="Arial" w:cs="Arial"/>
          <w:sz w:val="24"/>
          <w:szCs w:val="24"/>
        </w:rPr>
        <w:t xml:space="preserve">been given to separating </w:t>
      </w:r>
      <w:r w:rsidR="002167B7">
        <w:rPr>
          <w:rFonts w:ascii="Arial" w:hAnsi="Arial" w:cs="Arial"/>
          <w:sz w:val="24"/>
          <w:szCs w:val="24"/>
        </w:rPr>
        <w:t xml:space="preserve">currently </w:t>
      </w:r>
      <w:r w:rsidR="009703B7" w:rsidRPr="00640163">
        <w:rPr>
          <w:rFonts w:ascii="Arial" w:hAnsi="Arial" w:cs="Arial"/>
          <w:sz w:val="24"/>
          <w:szCs w:val="24"/>
        </w:rPr>
        <w:t>outsourc</w:t>
      </w:r>
      <w:r w:rsidR="002167B7">
        <w:rPr>
          <w:rFonts w:ascii="Arial" w:hAnsi="Arial" w:cs="Arial"/>
          <w:sz w:val="24"/>
          <w:szCs w:val="24"/>
        </w:rPr>
        <w:t xml:space="preserve">ed </w:t>
      </w:r>
      <w:r w:rsidR="009703B7" w:rsidRPr="00640163">
        <w:rPr>
          <w:rFonts w:ascii="Arial" w:hAnsi="Arial" w:cs="Arial"/>
          <w:sz w:val="24"/>
          <w:szCs w:val="24"/>
        </w:rPr>
        <w:t xml:space="preserve">service </w:t>
      </w:r>
      <w:r>
        <w:rPr>
          <w:rFonts w:ascii="Arial" w:hAnsi="Arial" w:cs="Arial"/>
          <w:sz w:val="24"/>
          <w:szCs w:val="24"/>
        </w:rPr>
        <w:t>activit</w:t>
      </w:r>
      <w:r w:rsidR="002167B7">
        <w:rPr>
          <w:rFonts w:ascii="Arial" w:hAnsi="Arial" w:cs="Arial"/>
          <w:sz w:val="24"/>
          <w:szCs w:val="24"/>
        </w:rPr>
        <w:t xml:space="preserve">ies </w:t>
      </w:r>
      <w:r w:rsidR="0098239F">
        <w:rPr>
          <w:rFonts w:ascii="Arial" w:hAnsi="Arial" w:cs="Arial"/>
          <w:sz w:val="24"/>
          <w:szCs w:val="24"/>
        </w:rPr>
        <w:t>f</w:t>
      </w:r>
      <w:r w:rsidR="006322CA">
        <w:rPr>
          <w:rFonts w:ascii="Arial" w:hAnsi="Arial" w:cs="Arial"/>
          <w:sz w:val="24"/>
          <w:szCs w:val="24"/>
        </w:rPr>
        <w:t>rom th</w:t>
      </w:r>
      <w:r w:rsidR="002167B7">
        <w:rPr>
          <w:rFonts w:ascii="Arial" w:hAnsi="Arial" w:cs="Arial"/>
          <w:sz w:val="24"/>
          <w:szCs w:val="24"/>
        </w:rPr>
        <w:t xml:space="preserve">ose </w:t>
      </w:r>
      <w:r w:rsidR="006322CA">
        <w:rPr>
          <w:rFonts w:ascii="Arial" w:hAnsi="Arial" w:cs="Arial"/>
          <w:sz w:val="24"/>
          <w:szCs w:val="24"/>
        </w:rPr>
        <w:t xml:space="preserve">of </w:t>
      </w:r>
      <w:r w:rsidR="009703B7" w:rsidRPr="00640163">
        <w:rPr>
          <w:rFonts w:ascii="Arial" w:hAnsi="Arial" w:cs="Arial"/>
          <w:sz w:val="24"/>
          <w:szCs w:val="24"/>
        </w:rPr>
        <w:t>resilience</w:t>
      </w:r>
      <w:r w:rsidR="006322CA">
        <w:rPr>
          <w:rFonts w:ascii="Arial" w:hAnsi="Arial" w:cs="Arial"/>
          <w:sz w:val="24"/>
          <w:szCs w:val="24"/>
        </w:rPr>
        <w:t xml:space="preserve"> work</w:t>
      </w:r>
      <w:r w:rsidR="0098239F">
        <w:rPr>
          <w:rFonts w:ascii="Arial" w:hAnsi="Arial" w:cs="Arial"/>
          <w:sz w:val="24"/>
          <w:szCs w:val="24"/>
        </w:rPr>
        <w:t xml:space="preserve">.  </w:t>
      </w:r>
      <w:r w:rsidR="009703B7" w:rsidRPr="00640163">
        <w:rPr>
          <w:rFonts w:ascii="Arial" w:hAnsi="Arial" w:cs="Arial"/>
          <w:sz w:val="24"/>
          <w:szCs w:val="24"/>
        </w:rPr>
        <w:t xml:space="preserve">However, </w:t>
      </w:r>
      <w:r w:rsidR="006322CA">
        <w:rPr>
          <w:rFonts w:ascii="Arial" w:hAnsi="Arial" w:cs="Arial"/>
          <w:sz w:val="24"/>
          <w:szCs w:val="24"/>
        </w:rPr>
        <w:t xml:space="preserve">that would be impractical, </w:t>
      </w:r>
      <w:r w:rsidR="009703B7" w:rsidRPr="00640163">
        <w:rPr>
          <w:rFonts w:ascii="Arial" w:hAnsi="Arial" w:cs="Arial"/>
          <w:sz w:val="24"/>
          <w:szCs w:val="24"/>
        </w:rPr>
        <w:t>as data</w:t>
      </w:r>
      <w:r w:rsidR="006322CA">
        <w:rPr>
          <w:rFonts w:ascii="Arial" w:hAnsi="Arial" w:cs="Arial"/>
          <w:sz w:val="24"/>
          <w:szCs w:val="24"/>
        </w:rPr>
        <w:t xml:space="preserve">, </w:t>
      </w:r>
      <w:r w:rsidR="009703B7" w:rsidRPr="00640163">
        <w:rPr>
          <w:rFonts w:ascii="Arial" w:hAnsi="Arial" w:cs="Arial"/>
          <w:sz w:val="24"/>
          <w:szCs w:val="24"/>
        </w:rPr>
        <w:t>work activities</w:t>
      </w:r>
      <w:r w:rsidR="006322CA">
        <w:rPr>
          <w:rFonts w:ascii="Arial" w:hAnsi="Arial" w:cs="Arial"/>
          <w:sz w:val="24"/>
          <w:szCs w:val="24"/>
        </w:rPr>
        <w:t xml:space="preserve"> and IT systems operated, </w:t>
      </w:r>
      <w:r w:rsidR="009703B7" w:rsidRPr="00640163">
        <w:rPr>
          <w:rFonts w:ascii="Arial" w:hAnsi="Arial" w:cs="Arial"/>
          <w:sz w:val="24"/>
          <w:szCs w:val="24"/>
        </w:rPr>
        <w:t xml:space="preserve">are intrinsically linked </w:t>
      </w:r>
      <w:r w:rsidR="006322CA">
        <w:rPr>
          <w:rFonts w:ascii="Arial" w:hAnsi="Arial" w:cs="Arial"/>
          <w:sz w:val="24"/>
          <w:szCs w:val="24"/>
        </w:rPr>
        <w:t xml:space="preserve">and often interdependent, with the consequence that such an approach </w:t>
      </w:r>
      <w:r w:rsidR="002167B7">
        <w:rPr>
          <w:rFonts w:ascii="Arial" w:hAnsi="Arial" w:cs="Arial"/>
          <w:sz w:val="24"/>
          <w:szCs w:val="24"/>
        </w:rPr>
        <w:t xml:space="preserve">could </w:t>
      </w:r>
      <w:r w:rsidR="006322CA">
        <w:rPr>
          <w:rFonts w:ascii="Arial" w:hAnsi="Arial" w:cs="Arial"/>
          <w:sz w:val="24"/>
          <w:szCs w:val="24"/>
        </w:rPr>
        <w:t xml:space="preserve">result in two separate suppliers processing related work under separate </w:t>
      </w:r>
      <w:r w:rsidR="002167B7">
        <w:rPr>
          <w:rFonts w:ascii="Arial" w:hAnsi="Arial" w:cs="Arial"/>
          <w:sz w:val="24"/>
          <w:szCs w:val="24"/>
        </w:rPr>
        <w:t xml:space="preserve">contract </w:t>
      </w:r>
      <w:r w:rsidR="006322CA">
        <w:rPr>
          <w:rFonts w:ascii="Arial" w:hAnsi="Arial" w:cs="Arial"/>
          <w:sz w:val="24"/>
          <w:szCs w:val="24"/>
        </w:rPr>
        <w:t xml:space="preserve">agreements for </w:t>
      </w:r>
      <w:r w:rsidR="00FB4272">
        <w:rPr>
          <w:rFonts w:ascii="Arial" w:hAnsi="Arial" w:cs="Arial"/>
          <w:sz w:val="24"/>
          <w:szCs w:val="24"/>
        </w:rPr>
        <w:t xml:space="preserve">a single customer.  </w:t>
      </w:r>
      <w:r w:rsidR="002167B7">
        <w:rPr>
          <w:rFonts w:ascii="Arial" w:hAnsi="Arial" w:cs="Arial"/>
          <w:sz w:val="24"/>
          <w:szCs w:val="24"/>
        </w:rPr>
        <w:t xml:space="preserve">  </w:t>
      </w:r>
      <w:r>
        <w:rPr>
          <w:rFonts w:ascii="Arial" w:hAnsi="Arial" w:cs="Arial"/>
          <w:sz w:val="24"/>
          <w:szCs w:val="24"/>
        </w:rPr>
        <w:t xml:space="preserve">  </w:t>
      </w:r>
    </w:p>
    <w:p w14:paraId="4D4C2CF6" w14:textId="29A05422" w:rsidR="0098239F" w:rsidRDefault="0098239F" w:rsidP="00EA4FCA">
      <w:pPr>
        <w:ind w:left="720"/>
        <w:rPr>
          <w:rFonts w:ascii="Arial" w:hAnsi="Arial" w:cs="Arial"/>
          <w:sz w:val="24"/>
          <w:szCs w:val="24"/>
        </w:rPr>
      </w:pPr>
      <w:r>
        <w:rPr>
          <w:rFonts w:ascii="Arial" w:hAnsi="Arial" w:cs="Arial"/>
          <w:sz w:val="24"/>
          <w:szCs w:val="24"/>
        </w:rPr>
        <w:t>The administrative arrangements and c</w:t>
      </w:r>
      <w:r w:rsidR="002167B7">
        <w:rPr>
          <w:rFonts w:ascii="Arial" w:hAnsi="Arial" w:cs="Arial"/>
          <w:sz w:val="24"/>
          <w:szCs w:val="24"/>
        </w:rPr>
        <w:t xml:space="preserve">lient </w:t>
      </w:r>
      <w:r>
        <w:rPr>
          <w:rFonts w:ascii="Arial" w:hAnsi="Arial" w:cs="Arial"/>
          <w:sz w:val="24"/>
          <w:szCs w:val="24"/>
        </w:rPr>
        <w:t xml:space="preserve">management </w:t>
      </w:r>
      <w:r w:rsidR="002167B7">
        <w:rPr>
          <w:rFonts w:ascii="Arial" w:hAnsi="Arial" w:cs="Arial"/>
          <w:sz w:val="24"/>
          <w:szCs w:val="24"/>
        </w:rPr>
        <w:t xml:space="preserve">arrangements required for </w:t>
      </w:r>
      <w:r>
        <w:rPr>
          <w:rFonts w:ascii="Arial" w:hAnsi="Arial" w:cs="Arial"/>
          <w:sz w:val="24"/>
          <w:szCs w:val="24"/>
        </w:rPr>
        <w:t xml:space="preserve">such an approach, would be unduly onerous and </w:t>
      </w:r>
      <w:r w:rsidR="004454E1">
        <w:rPr>
          <w:rFonts w:ascii="Arial" w:hAnsi="Arial" w:cs="Arial"/>
          <w:sz w:val="24"/>
          <w:szCs w:val="24"/>
        </w:rPr>
        <w:t>would r</w:t>
      </w:r>
      <w:r>
        <w:rPr>
          <w:rFonts w:ascii="Arial" w:hAnsi="Arial" w:cs="Arial"/>
          <w:sz w:val="24"/>
          <w:szCs w:val="24"/>
        </w:rPr>
        <w:t xml:space="preserve">esult in </w:t>
      </w:r>
      <w:r w:rsidR="004454E1">
        <w:rPr>
          <w:rFonts w:ascii="Arial" w:hAnsi="Arial" w:cs="Arial"/>
          <w:sz w:val="24"/>
          <w:szCs w:val="24"/>
        </w:rPr>
        <w:t xml:space="preserve">a less efficient application of management </w:t>
      </w:r>
      <w:r>
        <w:rPr>
          <w:rFonts w:ascii="Arial" w:hAnsi="Arial" w:cs="Arial"/>
          <w:sz w:val="24"/>
          <w:szCs w:val="24"/>
        </w:rPr>
        <w:t>effort</w:t>
      </w:r>
      <w:r w:rsidR="004454E1">
        <w:rPr>
          <w:rFonts w:ascii="Arial" w:hAnsi="Arial" w:cs="Arial"/>
          <w:sz w:val="24"/>
          <w:szCs w:val="24"/>
        </w:rPr>
        <w:t xml:space="preserve"> than would be the case under a single agreement.</w:t>
      </w:r>
      <w:r>
        <w:rPr>
          <w:rFonts w:ascii="Arial" w:hAnsi="Arial" w:cs="Arial"/>
          <w:sz w:val="24"/>
          <w:szCs w:val="24"/>
        </w:rPr>
        <w:t xml:space="preserve"> </w:t>
      </w:r>
    </w:p>
    <w:p w14:paraId="684C53A9" w14:textId="2F001750" w:rsidR="006322CA" w:rsidRDefault="00142FC0" w:rsidP="00EA4FCA">
      <w:pPr>
        <w:ind w:left="720" w:hanging="720"/>
        <w:rPr>
          <w:rFonts w:ascii="Arial" w:hAnsi="Arial" w:cs="Arial"/>
          <w:sz w:val="24"/>
          <w:szCs w:val="24"/>
        </w:rPr>
      </w:pPr>
      <w:r>
        <w:rPr>
          <w:rFonts w:ascii="Arial" w:hAnsi="Arial" w:cs="Arial"/>
          <w:sz w:val="24"/>
          <w:szCs w:val="24"/>
        </w:rPr>
        <w:lastRenderedPageBreak/>
        <w:tab/>
      </w:r>
      <w:r w:rsidR="00201BAE">
        <w:rPr>
          <w:rFonts w:ascii="Arial" w:hAnsi="Arial" w:cs="Arial"/>
          <w:sz w:val="24"/>
          <w:szCs w:val="24"/>
        </w:rPr>
        <w:t>Consequently, the option of hav</w:t>
      </w:r>
      <w:r w:rsidR="002167B7">
        <w:rPr>
          <w:rFonts w:ascii="Arial" w:hAnsi="Arial" w:cs="Arial"/>
          <w:sz w:val="24"/>
          <w:szCs w:val="24"/>
        </w:rPr>
        <w:t xml:space="preserve">ing separate </w:t>
      </w:r>
      <w:r w:rsidR="00201BAE">
        <w:rPr>
          <w:rFonts w:ascii="Arial" w:hAnsi="Arial" w:cs="Arial"/>
          <w:sz w:val="24"/>
          <w:szCs w:val="24"/>
        </w:rPr>
        <w:t>contract</w:t>
      </w:r>
      <w:r w:rsidR="002167B7">
        <w:rPr>
          <w:rFonts w:ascii="Arial" w:hAnsi="Arial" w:cs="Arial"/>
          <w:sz w:val="24"/>
          <w:szCs w:val="24"/>
        </w:rPr>
        <w:t xml:space="preserve">ual agreements </w:t>
      </w:r>
      <w:r w:rsidR="00201BAE">
        <w:rPr>
          <w:rFonts w:ascii="Arial" w:hAnsi="Arial" w:cs="Arial"/>
          <w:sz w:val="24"/>
          <w:szCs w:val="24"/>
        </w:rPr>
        <w:t>for outsourcing activities and resilience work activities</w:t>
      </w:r>
      <w:r w:rsidR="0098239F">
        <w:rPr>
          <w:rFonts w:ascii="Arial" w:hAnsi="Arial" w:cs="Arial"/>
          <w:sz w:val="24"/>
          <w:szCs w:val="24"/>
        </w:rPr>
        <w:t xml:space="preserve"> respectively, </w:t>
      </w:r>
      <w:r w:rsidR="00201BAE">
        <w:rPr>
          <w:rFonts w:ascii="Arial" w:hAnsi="Arial" w:cs="Arial"/>
          <w:sz w:val="24"/>
          <w:szCs w:val="24"/>
        </w:rPr>
        <w:t xml:space="preserve">is </w:t>
      </w:r>
      <w:r w:rsidR="002167B7">
        <w:rPr>
          <w:rFonts w:ascii="Arial" w:hAnsi="Arial" w:cs="Arial"/>
          <w:sz w:val="24"/>
          <w:szCs w:val="24"/>
        </w:rPr>
        <w:t xml:space="preserve">not proposed.  </w:t>
      </w:r>
      <w:r w:rsidR="00201BAE">
        <w:rPr>
          <w:rFonts w:ascii="Arial" w:hAnsi="Arial" w:cs="Arial"/>
          <w:sz w:val="24"/>
          <w:szCs w:val="24"/>
        </w:rPr>
        <w:t xml:space="preserve">  </w:t>
      </w:r>
      <w:r w:rsidR="006322CA">
        <w:rPr>
          <w:rFonts w:ascii="Arial" w:hAnsi="Arial" w:cs="Arial"/>
          <w:sz w:val="24"/>
          <w:szCs w:val="24"/>
        </w:rPr>
        <w:t xml:space="preserve">    </w:t>
      </w:r>
    </w:p>
    <w:p w14:paraId="4F09BA1F" w14:textId="6F8756A1" w:rsidR="006322CA" w:rsidRPr="00E3014A" w:rsidRDefault="003B3B1F" w:rsidP="00EA4FCA">
      <w:pPr>
        <w:spacing w:after="0"/>
        <w:ind w:left="720" w:hanging="720"/>
        <w:rPr>
          <w:rFonts w:ascii="Arial" w:hAnsi="Arial" w:cs="Arial"/>
          <w:b/>
          <w:bCs/>
          <w:sz w:val="28"/>
          <w:szCs w:val="28"/>
        </w:rPr>
      </w:pPr>
      <w:r>
        <w:rPr>
          <w:rFonts w:ascii="Arial" w:hAnsi="Arial" w:cs="Arial"/>
          <w:b/>
          <w:bCs/>
          <w:sz w:val="24"/>
          <w:szCs w:val="24"/>
        </w:rPr>
        <w:t>2.8</w:t>
      </w:r>
      <w:r>
        <w:rPr>
          <w:rFonts w:ascii="Arial" w:hAnsi="Arial" w:cs="Arial"/>
          <w:b/>
          <w:bCs/>
          <w:sz w:val="24"/>
          <w:szCs w:val="24"/>
        </w:rPr>
        <w:tab/>
      </w:r>
      <w:r w:rsidR="00473B34">
        <w:rPr>
          <w:rFonts w:ascii="Arial" w:hAnsi="Arial" w:cs="Arial"/>
          <w:b/>
          <w:bCs/>
          <w:sz w:val="28"/>
          <w:szCs w:val="28"/>
        </w:rPr>
        <w:t xml:space="preserve">Option 4 - </w:t>
      </w:r>
      <w:r w:rsidR="00221E62" w:rsidRPr="00E3014A">
        <w:rPr>
          <w:rFonts w:ascii="Arial" w:hAnsi="Arial" w:cs="Arial"/>
          <w:b/>
          <w:bCs/>
          <w:sz w:val="28"/>
          <w:szCs w:val="28"/>
        </w:rPr>
        <w:t>Return of Outsourcing and Resilience Activities to In</w:t>
      </w:r>
      <w:r w:rsidR="009574EA">
        <w:rPr>
          <w:rFonts w:ascii="Arial" w:hAnsi="Arial" w:cs="Arial"/>
          <w:b/>
          <w:bCs/>
          <w:sz w:val="28"/>
          <w:szCs w:val="28"/>
        </w:rPr>
        <w:t>-</w:t>
      </w:r>
      <w:r w:rsidR="00221E62" w:rsidRPr="00E3014A">
        <w:rPr>
          <w:rFonts w:ascii="Arial" w:hAnsi="Arial" w:cs="Arial"/>
          <w:b/>
          <w:bCs/>
          <w:sz w:val="28"/>
          <w:szCs w:val="28"/>
        </w:rPr>
        <w:t>House Provision</w:t>
      </w:r>
    </w:p>
    <w:p w14:paraId="0365903D" w14:textId="74A0656D" w:rsidR="002167B7" w:rsidRDefault="00221E62" w:rsidP="00EA4FCA">
      <w:pPr>
        <w:ind w:left="720" w:hanging="720"/>
        <w:rPr>
          <w:rFonts w:ascii="Arial" w:hAnsi="Arial" w:cs="Arial"/>
          <w:sz w:val="24"/>
          <w:szCs w:val="24"/>
        </w:rPr>
      </w:pPr>
      <w:r>
        <w:rPr>
          <w:rFonts w:ascii="Arial" w:hAnsi="Arial" w:cs="Arial"/>
          <w:sz w:val="24"/>
          <w:szCs w:val="24"/>
        </w:rPr>
        <w:tab/>
      </w:r>
      <w:r w:rsidRPr="00640163">
        <w:rPr>
          <w:rFonts w:ascii="Arial" w:hAnsi="Arial" w:cs="Arial"/>
          <w:sz w:val="24"/>
          <w:szCs w:val="24"/>
        </w:rPr>
        <w:t xml:space="preserve">Consideration has </w:t>
      </w:r>
      <w:r>
        <w:rPr>
          <w:rFonts w:ascii="Arial" w:hAnsi="Arial" w:cs="Arial"/>
          <w:sz w:val="24"/>
          <w:szCs w:val="24"/>
        </w:rPr>
        <w:t xml:space="preserve">also </w:t>
      </w:r>
      <w:r w:rsidRPr="00640163">
        <w:rPr>
          <w:rFonts w:ascii="Arial" w:hAnsi="Arial" w:cs="Arial"/>
          <w:sz w:val="24"/>
          <w:szCs w:val="24"/>
        </w:rPr>
        <w:t xml:space="preserve">been given to </w:t>
      </w:r>
      <w:r>
        <w:rPr>
          <w:rFonts w:ascii="Arial" w:hAnsi="Arial" w:cs="Arial"/>
          <w:sz w:val="24"/>
          <w:szCs w:val="24"/>
        </w:rPr>
        <w:t>returning both outsourced service activit</w:t>
      </w:r>
      <w:r w:rsidR="002167B7">
        <w:rPr>
          <w:rFonts w:ascii="Arial" w:hAnsi="Arial" w:cs="Arial"/>
          <w:sz w:val="24"/>
          <w:szCs w:val="24"/>
        </w:rPr>
        <w:t xml:space="preserve">ies </w:t>
      </w:r>
      <w:r>
        <w:rPr>
          <w:rFonts w:ascii="Arial" w:hAnsi="Arial" w:cs="Arial"/>
          <w:sz w:val="24"/>
          <w:szCs w:val="24"/>
        </w:rPr>
        <w:t xml:space="preserve">and resilience activities to </w:t>
      </w:r>
      <w:r w:rsidR="002167B7">
        <w:rPr>
          <w:rFonts w:ascii="Arial" w:hAnsi="Arial" w:cs="Arial"/>
          <w:sz w:val="24"/>
          <w:szCs w:val="24"/>
        </w:rPr>
        <w:t xml:space="preserve">direct </w:t>
      </w:r>
      <w:r>
        <w:rPr>
          <w:rFonts w:ascii="Arial" w:hAnsi="Arial" w:cs="Arial"/>
          <w:sz w:val="24"/>
          <w:szCs w:val="24"/>
        </w:rPr>
        <w:t>in</w:t>
      </w:r>
      <w:r w:rsidR="001330FE">
        <w:rPr>
          <w:rFonts w:ascii="Arial" w:hAnsi="Arial" w:cs="Arial"/>
          <w:sz w:val="24"/>
          <w:szCs w:val="24"/>
        </w:rPr>
        <w:t>-</w:t>
      </w:r>
      <w:r>
        <w:rPr>
          <w:rFonts w:ascii="Arial" w:hAnsi="Arial" w:cs="Arial"/>
          <w:sz w:val="24"/>
          <w:szCs w:val="24"/>
        </w:rPr>
        <w:t xml:space="preserve">house provision.  However, </w:t>
      </w:r>
      <w:r w:rsidR="002167B7">
        <w:rPr>
          <w:rFonts w:ascii="Arial" w:hAnsi="Arial" w:cs="Arial"/>
          <w:sz w:val="24"/>
          <w:szCs w:val="24"/>
        </w:rPr>
        <w:t>there is a potential risk that insufficient employees would transfer to</w:t>
      </w:r>
      <w:r w:rsidR="00975410">
        <w:rPr>
          <w:rFonts w:ascii="Arial" w:hAnsi="Arial" w:cs="Arial"/>
          <w:sz w:val="24"/>
          <w:szCs w:val="24"/>
        </w:rPr>
        <w:t xml:space="preserve"> London Borough of Harrow </w:t>
      </w:r>
      <w:r w:rsidR="002167B7">
        <w:rPr>
          <w:rFonts w:ascii="Arial" w:hAnsi="Arial" w:cs="Arial"/>
          <w:sz w:val="24"/>
          <w:szCs w:val="24"/>
        </w:rPr>
        <w:t xml:space="preserve">under </w:t>
      </w:r>
      <w:r w:rsidR="00BC69C9">
        <w:rPr>
          <w:rFonts w:ascii="Arial" w:hAnsi="Arial" w:cs="Arial"/>
          <w:sz w:val="24"/>
          <w:szCs w:val="24"/>
        </w:rPr>
        <w:t>TUPE</w:t>
      </w:r>
      <w:r w:rsidR="00975410">
        <w:rPr>
          <w:rFonts w:ascii="Arial" w:hAnsi="Arial" w:cs="Arial"/>
          <w:sz w:val="24"/>
          <w:szCs w:val="24"/>
        </w:rPr>
        <w:t xml:space="preserve"> </w:t>
      </w:r>
      <w:r w:rsidR="002167B7">
        <w:rPr>
          <w:rFonts w:ascii="Arial" w:hAnsi="Arial" w:cs="Arial"/>
          <w:sz w:val="24"/>
          <w:szCs w:val="24"/>
        </w:rPr>
        <w:t>in relation to this option</w:t>
      </w:r>
      <w:r w:rsidR="00B00441">
        <w:rPr>
          <w:rFonts w:ascii="Arial" w:hAnsi="Arial" w:cs="Arial"/>
          <w:sz w:val="24"/>
          <w:szCs w:val="24"/>
        </w:rPr>
        <w:t xml:space="preserve"> and that London Borough of Harrow would be unable to successfully recruit and retain the number and quality of personnel needed to establish and sustain an acceptable level of performance both at the </w:t>
      </w:r>
      <w:r w:rsidR="007A01E3">
        <w:rPr>
          <w:rFonts w:ascii="Arial" w:hAnsi="Arial" w:cs="Arial"/>
          <w:sz w:val="24"/>
          <w:szCs w:val="24"/>
        </w:rPr>
        <w:t xml:space="preserve">service </w:t>
      </w:r>
      <w:r w:rsidR="00B00441">
        <w:rPr>
          <w:rFonts w:ascii="Arial" w:hAnsi="Arial" w:cs="Arial"/>
          <w:sz w:val="24"/>
          <w:szCs w:val="24"/>
        </w:rPr>
        <w:t xml:space="preserve">commencement date and beyond.  </w:t>
      </w:r>
    </w:p>
    <w:p w14:paraId="27AC97A0" w14:textId="67F4FA6A" w:rsidR="00221E62" w:rsidRDefault="00221E62" w:rsidP="00EA4FCA">
      <w:pPr>
        <w:ind w:left="720" w:hanging="720"/>
        <w:rPr>
          <w:rFonts w:ascii="Arial" w:hAnsi="Arial" w:cs="Arial"/>
          <w:sz w:val="24"/>
          <w:szCs w:val="24"/>
        </w:rPr>
      </w:pPr>
      <w:r>
        <w:rPr>
          <w:rFonts w:ascii="Arial" w:hAnsi="Arial" w:cs="Arial"/>
          <w:sz w:val="24"/>
          <w:szCs w:val="24"/>
        </w:rPr>
        <w:tab/>
        <w:t xml:space="preserve">In particular, </w:t>
      </w:r>
      <w:r w:rsidR="00975410">
        <w:rPr>
          <w:rFonts w:ascii="Arial" w:hAnsi="Arial" w:cs="Arial"/>
          <w:sz w:val="24"/>
          <w:szCs w:val="24"/>
        </w:rPr>
        <w:t xml:space="preserve">some of </w:t>
      </w:r>
      <w:r>
        <w:rPr>
          <w:rFonts w:ascii="Arial" w:hAnsi="Arial" w:cs="Arial"/>
          <w:sz w:val="24"/>
          <w:szCs w:val="24"/>
        </w:rPr>
        <w:t xml:space="preserve">the roles that would need to be </w:t>
      </w:r>
      <w:r w:rsidR="004454E1">
        <w:rPr>
          <w:rFonts w:ascii="Arial" w:hAnsi="Arial" w:cs="Arial"/>
          <w:sz w:val="24"/>
          <w:szCs w:val="24"/>
        </w:rPr>
        <w:t>re</w:t>
      </w:r>
      <w:r>
        <w:rPr>
          <w:rFonts w:ascii="Arial" w:hAnsi="Arial" w:cs="Arial"/>
          <w:sz w:val="24"/>
          <w:szCs w:val="24"/>
        </w:rPr>
        <w:t xml:space="preserve">created </w:t>
      </w:r>
      <w:r w:rsidR="00975410">
        <w:rPr>
          <w:rFonts w:ascii="Arial" w:hAnsi="Arial" w:cs="Arial"/>
          <w:sz w:val="24"/>
          <w:szCs w:val="24"/>
        </w:rPr>
        <w:t xml:space="preserve">in house </w:t>
      </w:r>
      <w:r>
        <w:rPr>
          <w:rFonts w:ascii="Arial" w:hAnsi="Arial" w:cs="Arial"/>
          <w:sz w:val="24"/>
          <w:szCs w:val="24"/>
        </w:rPr>
        <w:t>to achieve th</w:t>
      </w:r>
      <w:r w:rsidR="00975410">
        <w:rPr>
          <w:rFonts w:ascii="Arial" w:hAnsi="Arial" w:cs="Arial"/>
          <w:sz w:val="24"/>
          <w:szCs w:val="24"/>
        </w:rPr>
        <w:t xml:space="preserve">is option, </w:t>
      </w:r>
      <w:r w:rsidR="004454E1">
        <w:rPr>
          <w:rFonts w:ascii="Arial" w:hAnsi="Arial" w:cs="Arial"/>
          <w:sz w:val="24"/>
          <w:szCs w:val="24"/>
        </w:rPr>
        <w:t xml:space="preserve">would </w:t>
      </w:r>
      <w:r w:rsidR="00975410">
        <w:rPr>
          <w:rFonts w:ascii="Arial" w:hAnsi="Arial" w:cs="Arial"/>
          <w:sz w:val="24"/>
          <w:szCs w:val="24"/>
        </w:rPr>
        <w:t xml:space="preserve">be </w:t>
      </w:r>
      <w:r w:rsidR="004454E1">
        <w:rPr>
          <w:rFonts w:ascii="Arial" w:hAnsi="Arial" w:cs="Arial"/>
          <w:sz w:val="24"/>
          <w:szCs w:val="24"/>
        </w:rPr>
        <w:t>“</w:t>
      </w:r>
      <w:r>
        <w:rPr>
          <w:rFonts w:ascii="Arial" w:hAnsi="Arial" w:cs="Arial"/>
          <w:sz w:val="24"/>
          <w:szCs w:val="24"/>
        </w:rPr>
        <w:t>niche” roles</w:t>
      </w:r>
      <w:r w:rsidR="00975410">
        <w:rPr>
          <w:rFonts w:ascii="Arial" w:hAnsi="Arial" w:cs="Arial"/>
          <w:sz w:val="24"/>
          <w:szCs w:val="24"/>
        </w:rPr>
        <w:t>, often requiring small numbers of full-time equivalent personnel.  R</w:t>
      </w:r>
      <w:r>
        <w:rPr>
          <w:rFonts w:ascii="Arial" w:hAnsi="Arial" w:cs="Arial"/>
          <w:sz w:val="24"/>
          <w:szCs w:val="24"/>
        </w:rPr>
        <w:t xml:space="preserve">ecruitment and retention of employees with the associated knowledge and experience necessary to perform those services, is anticipated, from experience, to be challenging and was one of the key reasons for outsourcing those service activities previously.   </w:t>
      </w:r>
    </w:p>
    <w:p w14:paraId="47B0EE3B" w14:textId="7AB35006" w:rsidR="00A04AB4" w:rsidRDefault="000E652C" w:rsidP="00EA4FCA">
      <w:pPr>
        <w:ind w:left="720"/>
        <w:rPr>
          <w:rFonts w:ascii="Arial" w:hAnsi="Arial" w:cs="Arial"/>
          <w:sz w:val="24"/>
          <w:szCs w:val="24"/>
        </w:rPr>
      </w:pPr>
      <w:r>
        <w:rPr>
          <w:rFonts w:ascii="Arial" w:hAnsi="Arial" w:cs="Arial"/>
          <w:sz w:val="24"/>
          <w:szCs w:val="24"/>
        </w:rPr>
        <w:t>Additionally, an an</w:t>
      </w:r>
      <w:r w:rsidR="00A04AB4">
        <w:rPr>
          <w:rFonts w:ascii="Arial" w:hAnsi="Arial" w:cs="Arial"/>
          <w:sz w:val="24"/>
          <w:szCs w:val="24"/>
        </w:rPr>
        <w:t xml:space="preserve">alysis of </w:t>
      </w:r>
      <w:r w:rsidR="00096FE8">
        <w:rPr>
          <w:rFonts w:ascii="Arial" w:hAnsi="Arial" w:cs="Arial"/>
          <w:sz w:val="24"/>
          <w:szCs w:val="24"/>
        </w:rPr>
        <w:t xml:space="preserve">the most recent </w:t>
      </w:r>
      <w:r w:rsidR="00A04AB4">
        <w:rPr>
          <w:rFonts w:ascii="Arial" w:hAnsi="Arial" w:cs="Arial"/>
          <w:sz w:val="24"/>
          <w:szCs w:val="24"/>
        </w:rPr>
        <w:t xml:space="preserve">collection rates </w:t>
      </w:r>
      <w:r w:rsidR="00096FE8">
        <w:rPr>
          <w:rFonts w:ascii="Arial" w:hAnsi="Arial" w:cs="Arial"/>
          <w:sz w:val="24"/>
          <w:szCs w:val="24"/>
        </w:rPr>
        <w:t>published, (i.e. 2</w:t>
      </w:r>
      <w:r>
        <w:rPr>
          <w:rFonts w:ascii="Arial" w:hAnsi="Arial" w:cs="Arial"/>
          <w:sz w:val="24"/>
          <w:szCs w:val="24"/>
        </w:rPr>
        <w:t>020/21 and 2021/22</w:t>
      </w:r>
      <w:r w:rsidR="00096FE8">
        <w:rPr>
          <w:rFonts w:ascii="Arial" w:hAnsi="Arial" w:cs="Arial"/>
          <w:sz w:val="24"/>
          <w:szCs w:val="24"/>
        </w:rPr>
        <w:t xml:space="preserve">), indicates that for </w:t>
      </w:r>
      <w:r w:rsidR="00A04AB4">
        <w:rPr>
          <w:rFonts w:ascii="Arial" w:hAnsi="Arial" w:cs="Arial"/>
          <w:sz w:val="24"/>
          <w:szCs w:val="24"/>
        </w:rPr>
        <w:t xml:space="preserve">London Authorities </w:t>
      </w:r>
      <w:r>
        <w:rPr>
          <w:rFonts w:ascii="Arial" w:hAnsi="Arial" w:cs="Arial"/>
          <w:sz w:val="24"/>
          <w:szCs w:val="24"/>
        </w:rPr>
        <w:t xml:space="preserve">with </w:t>
      </w:r>
      <w:r w:rsidR="00A04AB4">
        <w:rPr>
          <w:rFonts w:ascii="Arial" w:hAnsi="Arial" w:cs="Arial"/>
          <w:sz w:val="24"/>
          <w:szCs w:val="24"/>
        </w:rPr>
        <w:t>an outsourced service arrangement</w:t>
      </w:r>
      <w:r>
        <w:rPr>
          <w:rFonts w:ascii="Arial" w:hAnsi="Arial" w:cs="Arial"/>
          <w:sz w:val="24"/>
          <w:szCs w:val="24"/>
        </w:rPr>
        <w:t xml:space="preserve">, particularly in relation to Business Rates, the average collection performance is </w:t>
      </w:r>
      <w:r w:rsidR="00096FE8">
        <w:rPr>
          <w:rFonts w:ascii="Arial" w:hAnsi="Arial" w:cs="Arial"/>
          <w:sz w:val="24"/>
          <w:szCs w:val="24"/>
        </w:rPr>
        <w:t xml:space="preserve">2% </w:t>
      </w:r>
      <w:r>
        <w:rPr>
          <w:rFonts w:ascii="Arial" w:hAnsi="Arial" w:cs="Arial"/>
          <w:sz w:val="24"/>
          <w:szCs w:val="24"/>
        </w:rPr>
        <w:t xml:space="preserve">higher than that experienced </w:t>
      </w:r>
      <w:r w:rsidR="00096FE8">
        <w:rPr>
          <w:rFonts w:ascii="Arial" w:hAnsi="Arial" w:cs="Arial"/>
          <w:sz w:val="24"/>
          <w:szCs w:val="24"/>
        </w:rPr>
        <w:t xml:space="preserve">on average </w:t>
      </w:r>
      <w:r>
        <w:rPr>
          <w:rFonts w:ascii="Arial" w:hAnsi="Arial" w:cs="Arial"/>
          <w:sz w:val="24"/>
          <w:szCs w:val="24"/>
        </w:rPr>
        <w:t xml:space="preserve">for direct in-house provision.  </w:t>
      </w:r>
      <w:r w:rsidR="00A04AB4">
        <w:rPr>
          <w:rFonts w:ascii="Arial" w:hAnsi="Arial" w:cs="Arial"/>
          <w:sz w:val="24"/>
          <w:szCs w:val="24"/>
        </w:rPr>
        <w:t xml:space="preserve"> </w:t>
      </w:r>
    </w:p>
    <w:p w14:paraId="00533759" w14:textId="442C2D74" w:rsidR="004454E1" w:rsidRDefault="004454E1" w:rsidP="00EA4FCA">
      <w:pPr>
        <w:ind w:left="720" w:hanging="720"/>
        <w:rPr>
          <w:rFonts w:ascii="Arial" w:hAnsi="Arial" w:cs="Arial"/>
          <w:sz w:val="24"/>
          <w:szCs w:val="24"/>
        </w:rPr>
      </w:pPr>
      <w:r>
        <w:rPr>
          <w:rFonts w:ascii="Arial" w:hAnsi="Arial" w:cs="Arial"/>
          <w:sz w:val="24"/>
          <w:szCs w:val="24"/>
        </w:rPr>
        <w:tab/>
        <w:t>Consequently, the option of returning the services in scope to direct in</w:t>
      </w:r>
      <w:r w:rsidR="00937A8F">
        <w:rPr>
          <w:rFonts w:ascii="Arial" w:hAnsi="Arial" w:cs="Arial"/>
          <w:sz w:val="24"/>
          <w:szCs w:val="24"/>
        </w:rPr>
        <w:t>-</w:t>
      </w:r>
      <w:r>
        <w:rPr>
          <w:rFonts w:ascii="Arial" w:hAnsi="Arial" w:cs="Arial"/>
          <w:sz w:val="24"/>
          <w:szCs w:val="24"/>
        </w:rPr>
        <w:t xml:space="preserve">house provision </w:t>
      </w:r>
      <w:r w:rsidR="003A4828">
        <w:rPr>
          <w:rFonts w:ascii="Arial" w:hAnsi="Arial" w:cs="Arial"/>
          <w:sz w:val="24"/>
          <w:szCs w:val="24"/>
        </w:rPr>
        <w:t xml:space="preserve">is </w:t>
      </w:r>
      <w:r>
        <w:rPr>
          <w:rFonts w:ascii="Arial" w:hAnsi="Arial" w:cs="Arial"/>
          <w:sz w:val="24"/>
          <w:szCs w:val="24"/>
        </w:rPr>
        <w:t xml:space="preserve">also discounted.      </w:t>
      </w:r>
    </w:p>
    <w:p w14:paraId="329C935B" w14:textId="36E396A7" w:rsidR="004454E1" w:rsidRPr="00E3014A" w:rsidRDefault="003B3B1F" w:rsidP="00EA4FCA">
      <w:pPr>
        <w:spacing w:after="0"/>
        <w:ind w:left="720" w:hanging="720"/>
        <w:rPr>
          <w:rFonts w:ascii="Arial" w:hAnsi="Arial" w:cs="Arial"/>
          <w:b/>
          <w:bCs/>
          <w:sz w:val="28"/>
          <w:szCs w:val="28"/>
        </w:rPr>
      </w:pPr>
      <w:r>
        <w:rPr>
          <w:rFonts w:ascii="Arial" w:hAnsi="Arial" w:cs="Arial"/>
          <w:b/>
          <w:bCs/>
          <w:sz w:val="28"/>
          <w:szCs w:val="28"/>
        </w:rPr>
        <w:t>2.9</w:t>
      </w:r>
      <w:r>
        <w:rPr>
          <w:rFonts w:ascii="Arial" w:hAnsi="Arial" w:cs="Arial"/>
          <w:b/>
          <w:bCs/>
          <w:sz w:val="28"/>
          <w:szCs w:val="28"/>
        </w:rPr>
        <w:tab/>
      </w:r>
      <w:r w:rsidR="00473B34">
        <w:rPr>
          <w:rFonts w:ascii="Arial" w:hAnsi="Arial" w:cs="Arial"/>
          <w:b/>
          <w:bCs/>
          <w:sz w:val="28"/>
          <w:szCs w:val="28"/>
        </w:rPr>
        <w:t xml:space="preserve">Option 5 - </w:t>
      </w:r>
      <w:r w:rsidR="004454E1" w:rsidRPr="00E3014A">
        <w:rPr>
          <w:rFonts w:ascii="Arial" w:hAnsi="Arial" w:cs="Arial"/>
          <w:b/>
          <w:bCs/>
          <w:sz w:val="28"/>
          <w:szCs w:val="28"/>
        </w:rPr>
        <w:t>Shared Service Arrangement with another Local Authority</w:t>
      </w:r>
    </w:p>
    <w:p w14:paraId="60486724" w14:textId="4A4F397E" w:rsidR="00A65AB7" w:rsidRDefault="004454E1" w:rsidP="00EA4FCA">
      <w:pPr>
        <w:ind w:left="720" w:hanging="720"/>
        <w:rPr>
          <w:rFonts w:ascii="Arial" w:hAnsi="Arial" w:cs="Arial"/>
          <w:sz w:val="24"/>
          <w:szCs w:val="24"/>
        </w:rPr>
      </w:pPr>
      <w:r>
        <w:rPr>
          <w:rFonts w:ascii="Arial" w:hAnsi="Arial" w:cs="Arial"/>
          <w:sz w:val="24"/>
          <w:szCs w:val="24"/>
        </w:rPr>
        <w:tab/>
      </w:r>
      <w:r w:rsidRPr="00640163">
        <w:rPr>
          <w:rFonts w:ascii="Arial" w:hAnsi="Arial" w:cs="Arial"/>
          <w:sz w:val="24"/>
          <w:szCs w:val="24"/>
        </w:rPr>
        <w:t xml:space="preserve">Consideration has been given to </w:t>
      </w:r>
      <w:r>
        <w:rPr>
          <w:rFonts w:ascii="Arial" w:hAnsi="Arial" w:cs="Arial"/>
          <w:sz w:val="24"/>
          <w:szCs w:val="24"/>
        </w:rPr>
        <w:t>a shared service arrangement with a</w:t>
      </w:r>
      <w:r w:rsidR="00A65AB7">
        <w:rPr>
          <w:rFonts w:ascii="Arial" w:hAnsi="Arial" w:cs="Arial"/>
          <w:sz w:val="24"/>
          <w:szCs w:val="24"/>
        </w:rPr>
        <w:t xml:space="preserve"> neighbouring </w:t>
      </w:r>
      <w:r>
        <w:rPr>
          <w:rFonts w:ascii="Arial" w:hAnsi="Arial" w:cs="Arial"/>
          <w:sz w:val="24"/>
          <w:szCs w:val="24"/>
        </w:rPr>
        <w:t xml:space="preserve">Local Authority.  In particular, London Borough of Hillingdon was considered as an option, as </w:t>
      </w:r>
      <w:r w:rsidR="00A65AB7">
        <w:rPr>
          <w:rFonts w:ascii="Arial" w:hAnsi="Arial" w:cs="Arial"/>
          <w:sz w:val="24"/>
          <w:szCs w:val="24"/>
        </w:rPr>
        <w:t xml:space="preserve">its </w:t>
      </w:r>
      <w:r>
        <w:rPr>
          <w:rFonts w:ascii="Arial" w:hAnsi="Arial" w:cs="Arial"/>
          <w:sz w:val="24"/>
          <w:szCs w:val="24"/>
        </w:rPr>
        <w:t xml:space="preserve">Revenues and Benefits Service operates </w:t>
      </w:r>
      <w:r w:rsidR="00A65AB7">
        <w:rPr>
          <w:rFonts w:ascii="Arial" w:hAnsi="Arial" w:cs="Arial"/>
          <w:sz w:val="24"/>
          <w:szCs w:val="24"/>
        </w:rPr>
        <w:t xml:space="preserve">both </w:t>
      </w:r>
      <w:r>
        <w:rPr>
          <w:rFonts w:ascii="Arial" w:hAnsi="Arial" w:cs="Arial"/>
          <w:sz w:val="24"/>
          <w:szCs w:val="24"/>
        </w:rPr>
        <w:t>the NEC Revenues and Benefits core IT application</w:t>
      </w:r>
      <w:r w:rsidR="00A65AB7">
        <w:rPr>
          <w:rFonts w:ascii="Arial" w:hAnsi="Arial" w:cs="Arial"/>
          <w:sz w:val="24"/>
          <w:szCs w:val="24"/>
        </w:rPr>
        <w:t xml:space="preserve">s and the </w:t>
      </w:r>
      <w:r>
        <w:rPr>
          <w:rFonts w:ascii="Arial" w:hAnsi="Arial" w:cs="Arial"/>
          <w:sz w:val="24"/>
          <w:szCs w:val="24"/>
        </w:rPr>
        <w:t>Civica Electronic Document Management System</w:t>
      </w:r>
      <w:r w:rsidR="00A65AB7">
        <w:rPr>
          <w:rFonts w:ascii="Arial" w:hAnsi="Arial" w:cs="Arial"/>
          <w:sz w:val="24"/>
          <w:szCs w:val="24"/>
        </w:rPr>
        <w:t xml:space="preserve"> that </w:t>
      </w:r>
      <w:r w:rsidR="00975410">
        <w:rPr>
          <w:rFonts w:ascii="Arial" w:hAnsi="Arial" w:cs="Arial"/>
          <w:sz w:val="24"/>
          <w:szCs w:val="24"/>
        </w:rPr>
        <w:t>London Borough of Harrow al</w:t>
      </w:r>
      <w:r w:rsidR="00E628BC">
        <w:rPr>
          <w:rFonts w:ascii="Arial" w:hAnsi="Arial" w:cs="Arial"/>
          <w:sz w:val="24"/>
          <w:szCs w:val="24"/>
        </w:rPr>
        <w:t xml:space="preserve">so </w:t>
      </w:r>
      <w:r w:rsidR="00A65AB7">
        <w:rPr>
          <w:rFonts w:ascii="Arial" w:hAnsi="Arial" w:cs="Arial"/>
          <w:sz w:val="24"/>
          <w:szCs w:val="24"/>
        </w:rPr>
        <w:t>uses.  However, they ha</w:t>
      </w:r>
      <w:r w:rsidR="00912160">
        <w:rPr>
          <w:rFonts w:ascii="Arial" w:hAnsi="Arial" w:cs="Arial"/>
          <w:sz w:val="24"/>
          <w:szCs w:val="24"/>
        </w:rPr>
        <w:t xml:space="preserve">ve </w:t>
      </w:r>
      <w:r w:rsidR="00975410">
        <w:rPr>
          <w:rFonts w:ascii="Arial" w:hAnsi="Arial" w:cs="Arial"/>
          <w:sz w:val="24"/>
          <w:szCs w:val="24"/>
        </w:rPr>
        <w:t xml:space="preserve">recently completed a procurement for their </w:t>
      </w:r>
      <w:r w:rsidR="00A65AB7">
        <w:rPr>
          <w:rFonts w:ascii="Arial" w:hAnsi="Arial" w:cs="Arial"/>
          <w:sz w:val="24"/>
          <w:szCs w:val="24"/>
        </w:rPr>
        <w:t>third-party agreement</w:t>
      </w:r>
      <w:r w:rsidR="00E628BC">
        <w:rPr>
          <w:rFonts w:ascii="Arial" w:hAnsi="Arial" w:cs="Arial"/>
          <w:sz w:val="24"/>
          <w:szCs w:val="24"/>
        </w:rPr>
        <w:t xml:space="preserve"> </w:t>
      </w:r>
      <w:r w:rsidR="00975410">
        <w:rPr>
          <w:rFonts w:ascii="Arial" w:hAnsi="Arial" w:cs="Arial"/>
          <w:sz w:val="24"/>
          <w:szCs w:val="24"/>
        </w:rPr>
        <w:t xml:space="preserve">with a </w:t>
      </w:r>
      <w:r w:rsidR="00E628BC">
        <w:rPr>
          <w:rFonts w:ascii="Arial" w:hAnsi="Arial" w:cs="Arial"/>
          <w:sz w:val="24"/>
          <w:szCs w:val="24"/>
        </w:rPr>
        <w:t>renewed term</w:t>
      </w:r>
      <w:r w:rsidR="00912160">
        <w:rPr>
          <w:rFonts w:ascii="Arial" w:hAnsi="Arial" w:cs="Arial"/>
          <w:sz w:val="24"/>
          <w:szCs w:val="24"/>
        </w:rPr>
        <w:t xml:space="preserve"> commencing 1</w:t>
      </w:r>
      <w:r w:rsidR="00912160" w:rsidRPr="00912160">
        <w:rPr>
          <w:rFonts w:ascii="Arial" w:hAnsi="Arial" w:cs="Arial"/>
          <w:sz w:val="24"/>
          <w:szCs w:val="24"/>
          <w:vertAlign w:val="superscript"/>
        </w:rPr>
        <w:t>st</w:t>
      </w:r>
      <w:r w:rsidR="00912160">
        <w:rPr>
          <w:rFonts w:ascii="Arial" w:hAnsi="Arial" w:cs="Arial"/>
          <w:sz w:val="24"/>
          <w:szCs w:val="24"/>
        </w:rPr>
        <w:t xml:space="preserve"> June 2024</w:t>
      </w:r>
      <w:r w:rsidR="00A65AB7">
        <w:rPr>
          <w:rFonts w:ascii="Arial" w:hAnsi="Arial" w:cs="Arial"/>
          <w:sz w:val="24"/>
          <w:szCs w:val="24"/>
        </w:rPr>
        <w:t>.</w:t>
      </w:r>
    </w:p>
    <w:p w14:paraId="20981AF3" w14:textId="47C95F15" w:rsidR="00A65AB7" w:rsidRDefault="00A65AB7" w:rsidP="00EA4FCA">
      <w:pPr>
        <w:ind w:left="720" w:hanging="720"/>
        <w:rPr>
          <w:rFonts w:ascii="Arial" w:hAnsi="Arial" w:cs="Arial"/>
          <w:sz w:val="24"/>
          <w:szCs w:val="24"/>
        </w:rPr>
      </w:pPr>
      <w:r>
        <w:rPr>
          <w:rFonts w:ascii="Arial" w:hAnsi="Arial" w:cs="Arial"/>
          <w:sz w:val="24"/>
          <w:szCs w:val="24"/>
        </w:rPr>
        <w:tab/>
        <w:t>Whilst other neighbouring Local Authorities have been considered, they have not been progresse</w:t>
      </w:r>
      <w:r w:rsidR="00975410">
        <w:rPr>
          <w:rFonts w:ascii="Arial" w:hAnsi="Arial" w:cs="Arial"/>
          <w:sz w:val="24"/>
          <w:szCs w:val="24"/>
        </w:rPr>
        <w:t>d</w:t>
      </w:r>
      <w:r w:rsidR="00252F5E">
        <w:rPr>
          <w:rFonts w:ascii="Arial" w:hAnsi="Arial" w:cs="Arial"/>
          <w:sz w:val="24"/>
          <w:szCs w:val="24"/>
        </w:rPr>
        <w:t xml:space="preserve">.  This is because </w:t>
      </w:r>
      <w:r>
        <w:rPr>
          <w:rFonts w:ascii="Arial" w:hAnsi="Arial" w:cs="Arial"/>
          <w:sz w:val="24"/>
          <w:szCs w:val="24"/>
        </w:rPr>
        <w:t xml:space="preserve">they </w:t>
      </w:r>
      <w:r w:rsidR="00975410">
        <w:rPr>
          <w:rFonts w:ascii="Arial" w:hAnsi="Arial" w:cs="Arial"/>
          <w:sz w:val="24"/>
          <w:szCs w:val="24"/>
        </w:rPr>
        <w:t xml:space="preserve">either </w:t>
      </w:r>
      <w:r>
        <w:rPr>
          <w:rFonts w:ascii="Arial" w:hAnsi="Arial" w:cs="Arial"/>
          <w:sz w:val="24"/>
          <w:szCs w:val="24"/>
        </w:rPr>
        <w:t>operate different service delivery arrangements such that there would be reduced opportunities for any significant synergies</w:t>
      </w:r>
      <w:r w:rsidR="00975410">
        <w:rPr>
          <w:rFonts w:ascii="Arial" w:hAnsi="Arial" w:cs="Arial"/>
          <w:sz w:val="24"/>
          <w:szCs w:val="24"/>
        </w:rPr>
        <w:t>, or the</w:t>
      </w:r>
      <w:r w:rsidR="00252F5E">
        <w:rPr>
          <w:rFonts w:ascii="Arial" w:hAnsi="Arial" w:cs="Arial"/>
          <w:sz w:val="24"/>
          <w:szCs w:val="24"/>
        </w:rPr>
        <w:t xml:space="preserve">ir core values / priorities do not currently align with those of London Borough of </w:t>
      </w:r>
      <w:r w:rsidR="00975410">
        <w:rPr>
          <w:rFonts w:ascii="Arial" w:hAnsi="Arial" w:cs="Arial"/>
          <w:sz w:val="24"/>
          <w:szCs w:val="24"/>
        </w:rPr>
        <w:t>Harrow</w:t>
      </w:r>
      <w:r>
        <w:rPr>
          <w:rFonts w:ascii="Arial" w:hAnsi="Arial" w:cs="Arial"/>
          <w:sz w:val="24"/>
          <w:szCs w:val="24"/>
        </w:rPr>
        <w:t xml:space="preserve">.   </w:t>
      </w:r>
    </w:p>
    <w:p w14:paraId="546A90B1" w14:textId="0DE40C23" w:rsidR="004454E1" w:rsidRDefault="00A65AB7" w:rsidP="00EA4FCA">
      <w:pPr>
        <w:ind w:left="720" w:hanging="720"/>
        <w:rPr>
          <w:rFonts w:ascii="Arial" w:hAnsi="Arial" w:cs="Arial"/>
          <w:sz w:val="24"/>
          <w:szCs w:val="24"/>
        </w:rPr>
      </w:pPr>
      <w:r>
        <w:rPr>
          <w:rFonts w:ascii="Arial" w:hAnsi="Arial" w:cs="Arial"/>
          <w:sz w:val="24"/>
          <w:szCs w:val="24"/>
        </w:rPr>
        <w:tab/>
      </w:r>
      <w:r w:rsidR="004454E1">
        <w:rPr>
          <w:rFonts w:ascii="Arial" w:hAnsi="Arial" w:cs="Arial"/>
          <w:sz w:val="24"/>
          <w:szCs w:val="24"/>
        </w:rPr>
        <w:t xml:space="preserve">Consequently, the option of </w:t>
      </w:r>
      <w:r>
        <w:rPr>
          <w:rFonts w:ascii="Arial" w:hAnsi="Arial" w:cs="Arial"/>
          <w:sz w:val="24"/>
          <w:szCs w:val="24"/>
        </w:rPr>
        <w:t xml:space="preserve">a shared service arrangement for the </w:t>
      </w:r>
      <w:r w:rsidR="004454E1">
        <w:rPr>
          <w:rFonts w:ascii="Arial" w:hAnsi="Arial" w:cs="Arial"/>
          <w:sz w:val="24"/>
          <w:szCs w:val="24"/>
        </w:rPr>
        <w:t xml:space="preserve">services in scope </w:t>
      </w:r>
      <w:r>
        <w:rPr>
          <w:rFonts w:ascii="Arial" w:hAnsi="Arial" w:cs="Arial"/>
          <w:sz w:val="24"/>
          <w:szCs w:val="24"/>
        </w:rPr>
        <w:t xml:space="preserve">is </w:t>
      </w:r>
      <w:r w:rsidR="00252F5E">
        <w:rPr>
          <w:rFonts w:ascii="Arial" w:hAnsi="Arial" w:cs="Arial"/>
          <w:sz w:val="24"/>
          <w:szCs w:val="24"/>
        </w:rPr>
        <w:t xml:space="preserve">not proposed.  </w:t>
      </w:r>
      <w:r w:rsidR="004454E1">
        <w:rPr>
          <w:rFonts w:ascii="Arial" w:hAnsi="Arial" w:cs="Arial"/>
          <w:sz w:val="24"/>
          <w:szCs w:val="24"/>
        </w:rPr>
        <w:t xml:space="preserve">      </w:t>
      </w:r>
    </w:p>
    <w:p w14:paraId="283FE898" w14:textId="5CA5F22F" w:rsidR="00221E62" w:rsidRPr="00E3014A" w:rsidRDefault="003B3B1F" w:rsidP="00EA4FCA">
      <w:pPr>
        <w:spacing w:after="0"/>
        <w:ind w:left="720" w:hanging="720"/>
        <w:rPr>
          <w:rFonts w:ascii="Arial" w:hAnsi="Arial" w:cs="Arial"/>
          <w:b/>
          <w:bCs/>
          <w:sz w:val="28"/>
          <w:szCs w:val="28"/>
        </w:rPr>
      </w:pPr>
      <w:r>
        <w:rPr>
          <w:rFonts w:ascii="Arial" w:hAnsi="Arial" w:cs="Arial"/>
          <w:b/>
          <w:bCs/>
          <w:sz w:val="28"/>
          <w:szCs w:val="28"/>
        </w:rPr>
        <w:lastRenderedPageBreak/>
        <w:t>2.10</w:t>
      </w:r>
      <w:r>
        <w:rPr>
          <w:rFonts w:ascii="Arial" w:hAnsi="Arial" w:cs="Arial"/>
          <w:b/>
          <w:bCs/>
          <w:sz w:val="28"/>
          <w:szCs w:val="28"/>
        </w:rPr>
        <w:tab/>
      </w:r>
      <w:r w:rsidR="00473B34">
        <w:rPr>
          <w:rFonts w:ascii="Arial" w:hAnsi="Arial" w:cs="Arial"/>
          <w:b/>
          <w:bCs/>
          <w:sz w:val="28"/>
          <w:szCs w:val="28"/>
        </w:rPr>
        <w:t xml:space="preserve">Option 6 - </w:t>
      </w:r>
      <w:r w:rsidR="004454E1" w:rsidRPr="00E3014A">
        <w:rPr>
          <w:rFonts w:ascii="Arial" w:hAnsi="Arial" w:cs="Arial"/>
          <w:b/>
          <w:bCs/>
          <w:sz w:val="28"/>
          <w:szCs w:val="28"/>
        </w:rPr>
        <w:t xml:space="preserve">Single Outsourced Service and Resilience Service Activities Agreement </w:t>
      </w:r>
    </w:p>
    <w:p w14:paraId="711862CE" w14:textId="2E976B06" w:rsidR="004454E1" w:rsidRDefault="004454E1" w:rsidP="00EA4FCA">
      <w:pPr>
        <w:ind w:left="720"/>
        <w:rPr>
          <w:rFonts w:ascii="Arial" w:hAnsi="Arial" w:cs="Arial"/>
          <w:sz w:val="24"/>
          <w:szCs w:val="24"/>
        </w:rPr>
      </w:pPr>
      <w:r w:rsidRPr="0031367B">
        <w:rPr>
          <w:rFonts w:ascii="Arial" w:hAnsi="Arial" w:cs="Arial"/>
          <w:sz w:val="24"/>
          <w:szCs w:val="24"/>
        </w:rPr>
        <w:t xml:space="preserve"> If combined resilience and outsourcing</w:t>
      </w:r>
      <w:r w:rsidR="0031367B">
        <w:rPr>
          <w:rFonts w:ascii="Arial" w:hAnsi="Arial" w:cs="Arial"/>
          <w:sz w:val="24"/>
          <w:szCs w:val="24"/>
        </w:rPr>
        <w:t xml:space="preserve"> activities </w:t>
      </w:r>
      <w:r w:rsidRPr="0031367B">
        <w:rPr>
          <w:rFonts w:ascii="Arial" w:hAnsi="Arial" w:cs="Arial"/>
          <w:sz w:val="24"/>
          <w:szCs w:val="24"/>
        </w:rPr>
        <w:t xml:space="preserve">were to be </w:t>
      </w:r>
      <w:r w:rsidR="00252F5E">
        <w:rPr>
          <w:rFonts w:ascii="Arial" w:hAnsi="Arial" w:cs="Arial"/>
          <w:sz w:val="24"/>
          <w:szCs w:val="24"/>
        </w:rPr>
        <w:t>re</w:t>
      </w:r>
      <w:r w:rsidRPr="0031367B">
        <w:rPr>
          <w:rFonts w:ascii="Arial" w:hAnsi="Arial" w:cs="Arial"/>
          <w:sz w:val="24"/>
          <w:szCs w:val="24"/>
        </w:rPr>
        <w:t xml:space="preserve">tendered </w:t>
      </w:r>
      <w:r w:rsidR="0031367B">
        <w:rPr>
          <w:rFonts w:ascii="Arial" w:hAnsi="Arial" w:cs="Arial"/>
          <w:sz w:val="24"/>
          <w:szCs w:val="24"/>
        </w:rPr>
        <w:t>under a single agreement</w:t>
      </w:r>
      <w:r w:rsidR="00252F5E">
        <w:rPr>
          <w:rFonts w:ascii="Arial" w:hAnsi="Arial" w:cs="Arial"/>
          <w:sz w:val="24"/>
          <w:szCs w:val="24"/>
        </w:rPr>
        <w:t xml:space="preserve">, </w:t>
      </w:r>
      <w:r w:rsidRPr="0031367B">
        <w:rPr>
          <w:rFonts w:ascii="Arial" w:hAnsi="Arial" w:cs="Arial"/>
          <w:sz w:val="24"/>
          <w:szCs w:val="24"/>
        </w:rPr>
        <w:t xml:space="preserve">potential interest </w:t>
      </w:r>
      <w:r w:rsidR="0033281B">
        <w:rPr>
          <w:rFonts w:ascii="Arial" w:hAnsi="Arial" w:cs="Arial"/>
          <w:sz w:val="24"/>
          <w:szCs w:val="24"/>
        </w:rPr>
        <w:t xml:space="preserve">would </w:t>
      </w:r>
      <w:r w:rsidRPr="0031367B">
        <w:rPr>
          <w:rFonts w:ascii="Arial" w:hAnsi="Arial" w:cs="Arial"/>
          <w:sz w:val="24"/>
          <w:szCs w:val="24"/>
        </w:rPr>
        <w:t>be limited to those companies operating within both the outsourcing and resilience market</w:t>
      </w:r>
      <w:r w:rsidR="00092654">
        <w:rPr>
          <w:rFonts w:ascii="Arial" w:hAnsi="Arial" w:cs="Arial"/>
          <w:sz w:val="24"/>
          <w:szCs w:val="24"/>
        </w:rPr>
        <w:t xml:space="preserve"> with </w:t>
      </w:r>
      <w:r w:rsidR="0033281B">
        <w:rPr>
          <w:rFonts w:ascii="Arial" w:hAnsi="Arial" w:cs="Arial"/>
          <w:sz w:val="24"/>
          <w:szCs w:val="24"/>
        </w:rPr>
        <w:t xml:space="preserve">pricing of tenders, representative of the level of competition.   </w:t>
      </w:r>
      <w:r>
        <w:rPr>
          <w:rFonts w:ascii="Arial" w:hAnsi="Arial" w:cs="Arial"/>
          <w:sz w:val="24"/>
          <w:szCs w:val="24"/>
        </w:rPr>
        <w:t xml:space="preserve"> </w:t>
      </w:r>
    </w:p>
    <w:p w14:paraId="0C62A55D" w14:textId="4AE89EB1" w:rsidR="0031367B" w:rsidRDefault="00A65AB7" w:rsidP="00EA4FCA">
      <w:pPr>
        <w:ind w:left="720" w:hanging="720"/>
        <w:rPr>
          <w:rFonts w:ascii="Arial" w:hAnsi="Arial" w:cs="Arial"/>
          <w:sz w:val="24"/>
          <w:szCs w:val="24"/>
        </w:rPr>
      </w:pPr>
      <w:r>
        <w:rPr>
          <w:rFonts w:ascii="Arial" w:hAnsi="Arial" w:cs="Arial"/>
          <w:sz w:val="24"/>
          <w:szCs w:val="24"/>
        </w:rPr>
        <w:tab/>
        <w:t xml:space="preserve">However, it is anticipated that there would be interest from the suppliers in that </w:t>
      </w:r>
      <w:r w:rsidR="0031367B">
        <w:rPr>
          <w:rFonts w:ascii="Arial" w:hAnsi="Arial" w:cs="Arial"/>
          <w:sz w:val="24"/>
          <w:szCs w:val="24"/>
        </w:rPr>
        <w:t xml:space="preserve">marketplace </w:t>
      </w:r>
      <w:r>
        <w:rPr>
          <w:rFonts w:ascii="Arial" w:hAnsi="Arial" w:cs="Arial"/>
          <w:sz w:val="24"/>
          <w:szCs w:val="24"/>
        </w:rPr>
        <w:t xml:space="preserve">and that </w:t>
      </w:r>
      <w:r w:rsidR="0031367B">
        <w:rPr>
          <w:rFonts w:ascii="Arial" w:hAnsi="Arial" w:cs="Arial"/>
          <w:sz w:val="24"/>
          <w:szCs w:val="24"/>
        </w:rPr>
        <w:t xml:space="preserve">seamless delivery of the services in scope </w:t>
      </w:r>
      <w:r w:rsidR="0033281B">
        <w:rPr>
          <w:rFonts w:ascii="Arial" w:hAnsi="Arial" w:cs="Arial"/>
          <w:sz w:val="24"/>
          <w:szCs w:val="24"/>
        </w:rPr>
        <w:t>c</w:t>
      </w:r>
      <w:r w:rsidR="0031367B">
        <w:rPr>
          <w:rFonts w:ascii="Arial" w:hAnsi="Arial" w:cs="Arial"/>
          <w:sz w:val="24"/>
          <w:szCs w:val="24"/>
        </w:rPr>
        <w:t xml:space="preserve">ould be </w:t>
      </w:r>
      <w:r w:rsidR="0033281B">
        <w:rPr>
          <w:rFonts w:ascii="Arial" w:hAnsi="Arial" w:cs="Arial"/>
          <w:sz w:val="24"/>
          <w:szCs w:val="24"/>
        </w:rPr>
        <w:t xml:space="preserve">effectively </w:t>
      </w:r>
      <w:r w:rsidR="0031367B">
        <w:rPr>
          <w:rFonts w:ascii="Arial" w:hAnsi="Arial" w:cs="Arial"/>
          <w:sz w:val="24"/>
          <w:szCs w:val="24"/>
        </w:rPr>
        <w:t>achieved within the required timescale.</w:t>
      </w:r>
    </w:p>
    <w:p w14:paraId="1D736321" w14:textId="52FDFD24" w:rsidR="00221E62" w:rsidRDefault="0031367B" w:rsidP="00EA4FCA">
      <w:pPr>
        <w:ind w:left="720" w:hanging="720"/>
        <w:rPr>
          <w:rFonts w:ascii="Arial" w:hAnsi="Arial" w:cs="Arial"/>
          <w:sz w:val="24"/>
          <w:szCs w:val="24"/>
        </w:rPr>
      </w:pPr>
      <w:r>
        <w:rPr>
          <w:rFonts w:ascii="Arial" w:hAnsi="Arial" w:cs="Arial"/>
          <w:sz w:val="24"/>
          <w:szCs w:val="24"/>
        </w:rPr>
        <w:tab/>
        <w:t xml:space="preserve">It is also anticipated that the risk of having insufficient resource available at the contract commencement date arising from the </w:t>
      </w:r>
      <w:r w:rsidR="00252F5E">
        <w:rPr>
          <w:rFonts w:ascii="Arial" w:hAnsi="Arial" w:cs="Arial"/>
          <w:sz w:val="24"/>
          <w:szCs w:val="24"/>
        </w:rPr>
        <w:t xml:space="preserve">effects of </w:t>
      </w:r>
      <w:r>
        <w:rPr>
          <w:rFonts w:ascii="Arial" w:hAnsi="Arial" w:cs="Arial"/>
          <w:sz w:val="24"/>
          <w:szCs w:val="24"/>
        </w:rPr>
        <w:t>TUPE</w:t>
      </w:r>
      <w:r w:rsidR="00252F5E">
        <w:rPr>
          <w:rFonts w:ascii="Arial" w:hAnsi="Arial" w:cs="Arial"/>
          <w:sz w:val="24"/>
          <w:szCs w:val="24"/>
        </w:rPr>
        <w:t xml:space="preserve">, </w:t>
      </w:r>
      <w:r w:rsidR="0033281B">
        <w:rPr>
          <w:rFonts w:ascii="Arial" w:hAnsi="Arial" w:cs="Arial"/>
          <w:sz w:val="24"/>
          <w:szCs w:val="24"/>
        </w:rPr>
        <w:t>c</w:t>
      </w:r>
      <w:r w:rsidR="00252F5E">
        <w:rPr>
          <w:rFonts w:ascii="Arial" w:hAnsi="Arial" w:cs="Arial"/>
          <w:sz w:val="24"/>
          <w:szCs w:val="24"/>
        </w:rPr>
        <w:t>ould be more effectively mitigated by a third-party supplier</w:t>
      </w:r>
      <w:r w:rsidR="0033281B">
        <w:rPr>
          <w:rFonts w:ascii="Arial" w:hAnsi="Arial" w:cs="Arial"/>
          <w:sz w:val="24"/>
          <w:szCs w:val="24"/>
        </w:rPr>
        <w:t xml:space="preserve">.  </w:t>
      </w:r>
      <w:r w:rsidR="00252F5E">
        <w:rPr>
          <w:rFonts w:ascii="Arial" w:hAnsi="Arial" w:cs="Arial"/>
          <w:sz w:val="24"/>
          <w:szCs w:val="24"/>
        </w:rPr>
        <w:t xml:space="preserve">   </w:t>
      </w:r>
      <w:r>
        <w:rPr>
          <w:rFonts w:ascii="Arial" w:hAnsi="Arial" w:cs="Arial"/>
          <w:sz w:val="24"/>
          <w:szCs w:val="24"/>
        </w:rPr>
        <w:t xml:space="preserve">      </w:t>
      </w:r>
    </w:p>
    <w:p w14:paraId="3D84ABB4" w14:textId="789F7B70" w:rsidR="0033281B" w:rsidRDefault="00142FC0" w:rsidP="00EA4FCA">
      <w:pPr>
        <w:ind w:left="720" w:hanging="720"/>
        <w:rPr>
          <w:rFonts w:ascii="Arial" w:hAnsi="Arial" w:cs="Arial"/>
          <w:sz w:val="24"/>
          <w:szCs w:val="24"/>
        </w:rPr>
      </w:pPr>
      <w:r>
        <w:rPr>
          <w:rFonts w:ascii="Arial" w:hAnsi="Arial" w:cs="Arial"/>
          <w:sz w:val="24"/>
          <w:szCs w:val="24"/>
        </w:rPr>
        <w:tab/>
      </w:r>
      <w:r w:rsidR="0033281B">
        <w:rPr>
          <w:rFonts w:ascii="Arial" w:hAnsi="Arial" w:cs="Arial"/>
          <w:sz w:val="24"/>
          <w:szCs w:val="24"/>
        </w:rPr>
        <w:t xml:space="preserve">For the above reasons, it is proposed that the existing service agreement be packaged and retendered in a similar format to that currently operated. </w:t>
      </w:r>
    </w:p>
    <w:p w14:paraId="35F6F12E" w14:textId="54428CD0" w:rsidR="00092654" w:rsidRDefault="00092654" w:rsidP="00EA4FCA">
      <w:pPr>
        <w:ind w:left="720" w:hanging="720"/>
        <w:rPr>
          <w:rFonts w:ascii="Arial" w:hAnsi="Arial" w:cs="Arial"/>
          <w:sz w:val="24"/>
          <w:szCs w:val="24"/>
        </w:rPr>
      </w:pPr>
      <w:r>
        <w:rPr>
          <w:rFonts w:ascii="Arial" w:hAnsi="Arial" w:cs="Arial"/>
          <w:sz w:val="24"/>
          <w:szCs w:val="24"/>
        </w:rPr>
        <w:tab/>
        <w:t xml:space="preserve">The use of a framework agreement for this proposed option has been considered.  However, as such a framework for the services in scope and the nature and extent of the work activities concerned, does not exist, that approach has been discounted. </w:t>
      </w:r>
    </w:p>
    <w:p w14:paraId="1F828F00" w14:textId="2B30C624" w:rsidR="006A2834" w:rsidRDefault="003B3B1F" w:rsidP="00EA4FCA">
      <w:pPr>
        <w:pStyle w:val="Heading2"/>
        <w:tabs>
          <w:tab w:val="left" w:pos="567"/>
        </w:tabs>
        <w:rPr>
          <w:rFonts w:ascii="Arial" w:hAnsi="Arial"/>
          <w:sz w:val="24"/>
          <w:szCs w:val="24"/>
        </w:rPr>
      </w:pPr>
      <w:r>
        <w:rPr>
          <w:rFonts w:ascii="Arial" w:hAnsi="Arial"/>
          <w:sz w:val="28"/>
          <w:szCs w:val="28"/>
        </w:rPr>
        <w:t>3.</w:t>
      </w:r>
      <w:r w:rsidR="006A2834">
        <w:rPr>
          <w:rFonts w:ascii="Arial" w:hAnsi="Arial"/>
          <w:sz w:val="28"/>
          <w:szCs w:val="28"/>
        </w:rPr>
        <w:tab/>
      </w:r>
      <w:r w:rsidR="006A2834" w:rsidRPr="00E3014A">
        <w:rPr>
          <w:rFonts w:ascii="Arial" w:hAnsi="Arial"/>
          <w:sz w:val="28"/>
          <w:szCs w:val="28"/>
        </w:rPr>
        <w:t>Why a change is needed</w:t>
      </w:r>
    </w:p>
    <w:p w14:paraId="6EB4A490" w14:textId="77777777" w:rsidR="006A2834" w:rsidRPr="00125574" w:rsidRDefault="006A2834" w:rsidP="00EA4FCA">
      <w:pPr>
        <w:ind w:left="561"/>
        <w:rPr>
          <w:rFonts w:ascii="Arial" w:hAnsi="Arial" w:cs="Arial"/>
          <w:sz w:val="24"/>
          <w:szCs w:val="24"/>
        </w:rPr>
      </w:pPr>
      <w:r>
        <w:rPr>
          <w:rFonts w:ascii="Arial" w:hAnsi="Arial" w:cs="Arial"/>
          <w:sz w:val="24"/>
          <w:szCs w:val="24"/>
        </w:rPr>
        <w:t xml:space="preserve">The proposed </w:t>
      </w:r>
      <w:r w:rsidRPr="00125574">
        <w:rPr>
          <w:rFonts w:ascii="Arial" w:hAnsi="Arial" w:cs="Arial"/>
          <w:sz w:val="24"/>
          <w:szCs w:val="24"/>
        </w:rPr>
        <w:t>retender of the services in scope</w:t>
      </w:r>
      <w:r>
        <w:rPr>
          <w:rFonts w:ascii="Arial" w:hAnsi="Arial" w:cs="Arial"/>
          <w:sz w:val="24"/>
          <w:szCs w:val="24"/>
        </w:rPr>
        <w:t xml:space="preserve">, </w:t>
      </w:r>
      <w:r w:rsidRPr="00125574">
        <w:rPr>
          <w:rFonts w:ascii="Arial" w:hAnsi="Arial" w:cs="Arial"/>
          <w:sz w:val="24"/>
          <w:szCs w:val="24"/>
        </w:rPr>
        <w:t>will facilitate the achievement of seamless and continuous service delivery</w:t>
      </w:r>
      <w:r>
        <w:rPr>
          <w:rFonts w:ascii="Arial" w:hAnsi="Arial" w:cs="Arial"/>
          <w:sz w:val="24"/>
          <w:szCs w:val="24"/>
        </w:rPr>
        <w:t xml:space="preserve">, </w:t>
      </w:r>
      <w:r w:rsidRPr="00125574">
        <w:rPr>
          <w:rFonts w:ascii="Arial" w:hAnsi="Arial" w:cs="Arial"/>
          <w:sz w:val="24"/>
          <w:szCs w:val="24"/>
        </w:rPr>
        <w:t xml:space="preserve">that will in turn, contribute to the maintenance of Revenues collection performance and Benefit claims administration currently experienced.    </w:t>
      </w:r>
    </w:p>
    <w:p w14:paraId="0E26E736" w14:textId="69875D31" w:rsidR="004740B6" w:rsidRPr="00E3014A" w:rsidRDefault="003B3B1F" w:rsidP="00EA4FCA">
      <w:pPr>
        <w:tabs>
          <w:tab w:val="left" w:pos="567"/>
        </w:tabs>
        <w:spacing w:after="0"/>
        <w:rPr>
          <w:rFonts w:ascii="Arial" w:hAnsi="Arial" w:cs="Arial"/>
          <w:b/>
          <w:bCs/>
          <w:sz w:val="28"/>
          <w:szCs w:val="28"/>
        </w:rPr>
      </w:pPr>
      <w:r>
        <w:rPr>
          <w:rFonts w:ascii="Arial" w:hAnsi="Arial" w:cs="Arial"/>
          <w:b/>
          <w:bCs/>
          <w:sz w:val="24"/>
          <w:szCs w:val="24"/>
        </w:rPr>
        <w:t>4.</w:t>
      </w:r>
      <w:r w:rsidR="00B72782" w:rsidRPr="00215E50">
        <w:rPr>
          <w:rFonts w:ascii="Arial" w:hAnsi="Arial" w:cs="Arial"/>
          <w:b/>
          <w:bCs/>
          <w:sz w:val="24"/>
          <w:szCs w:val="24"/>
        </w:rPr>
        <w:t xml:space="preserve"> </w:t>
      </w:r>
      <w:r w:rsidR="00097249" w:rsidRPr="00215E50">
        <w:rPr>
          <w:rFonts w:ascii="Arial" w:hAnsi="Arial" w:cs="Arial"/>
          <w:b/>
          <w:bCs/>
          <w:sz w:val="24"/>
          <w:szCs w:val="24"/>
        </w:rPr>
        <w:tab/>
      </w:r>
      <w:r w:rsidR="00B72782" w:rsidRPr="00E3014A">
        <w:rPr>
          <w:rFonts w:ascii="Arial" w:hAnsi="Arial" w:cs="Arial"/>
          <w:b/>
          <w:bCs/>
          <w:sz w:val="28"/>
          <w:szCs w:val="28"/>
        </w:rPr>
        <w:t xml:space="preserve">Legal Implications </w:t>
      </w:r>
    </w:p>
    <w:p w14:paraId="38072147" w14:textId="5D87DE84" w:rsidR="00817473" w:rsidRPr="00B11188" w:rsidRDefault="00097249" w:rsidP="00EA4FCA">
      <w:pPr>
        <w:ind w:left="567" w:hanging="567"/>
        <w:rPr>
          <w:rFonts w:ascii="Arial" w:hAnsi="Arial" w:cs="Arial"/>
          <w:sz w:val="24"/>
          <w:szCs w:val="24"/>
        </w:rPr>
      </w:pPr>
      <w:r w:rsidRPr="00215E50">
        <w:rPr>
          <w:rFonts w:ascii="Arial" w:hAnsi="Arial" w:cs="Arial"/>
          <w:sz w:val="24"/>
          <w:szCs w:val="24"/>
        </w:rPr>
        <w:tab/>
      </w:r>
      <w:r w:rsidR="00D14D53" w:rsidRPr="00B11188">
        <w:rPr>
          <w:rFonts w:ascii="Arial" w:hAnsi="Arial" w:cs="Arial"/>
          <w:sz w:val="24"/>
          <w:szCs w:val="24"/>
        </w:rPr>
        <w:t xml:space="preserve">Under </w:t>
      </w:r>
      <w:r w:rsidR="00057302" w:rsidRPr="008176BD">
        <w:rPr>
          <w:rFonts w:ascii="Arial" w:hAnsi="Arial" w:cs="Arial"/>
          <w:sz w:val="24"/>
          <w:szCs w:val="24"/>
        </w:rPr>
        <w:t>Section 3 of the Local Government Act 1999, Local Authorities are under a general duty to secure Best Value services. The duty is to “make arrangements to secure continuous improvement in the way in which functions are exercised, having regard to a combination of economy, efficiency and effectiveness.” The recommendations in this report will assist with the achievement of Best Value.</w:t>
      </w:r>
    </w:p>
    <w:p w14:paraId="36B11AE3" w14:textId="3D087544" w:rsidR="001B25CC" w:rsidRPr="00B11188" w:rsidRDefault="00817473" w:rsidP="00EA4FCA">
      <w:pPr>
        <w:ind w:left="567"/>
        <w:rPr>
          <w:rFonts w:ascii="Arial" w:hAnsi="Arial" w:cs="Arial"/>
          <w:sz w:val="24"/>
          <w:szCs w:val="24"/>
        </w:rPr>
      </w:pPr>
      <w:r w:rsidRPr="008176BD">
        <w:rPr>
          <w:rFonts w:ascii="Arial" w:hAnsi="Arial" w:cs="Arial"/>
          <w:sz w:val="24"/>
          <w:szCs w:val="24"/>
        </w:rPr>
        <w:t>Under Section 111 of the Local Government Act 1972, the Council has the power to do anything that is calculated to facilitate, or which is conducive or incidental to, the discharge of any of their functions</w:t>
      </w:r>
      <w:r w:rsidR="00CB68B4" w:rsidRPr="008176BD">
        <w:rPr>
          <w:rFonts w:ascii="Arial" w:hAnsi="Arial" w:cs="Arial"/>
          <w:sz w:val="24"/>
          <w:szCs w:val="24"/>
        </w:rPr>
        <w:t>. The</w:t>
      </w:r>
      <w:r w:rsidR="00F67D8D" w:rsidRPr="008176BD">
        <w:rPr>
          <w:rFonts w:ascii="Arial" w:hAnsi="Arial" w:cs="Arial"/>
          <w:sz w:val="24"/>
          <w:szCs w:val="24"/>
        </w:rPr>
        <w:t xml:space="preserve"> recommendations in this report are in accordance with th</w:t>
      </w:r>
      <w:r w:rsidR="00CB68B4" w:rsidRPr="008176BD">
        <w:rPr>
          <w:rFonts w:ascii="Arial" w:hAnsi="Arial" w:cs="Arial"/>
          <w:sz w:val="24"/>
          <w:szCs w:val="24"/>
        </w:rPr>
        <w:t xml:space="preserve">is </w:t>
      </w:r>
      <w:r w:rsidR="00F67D8D" w:rsidRPr="008176BD">
        <w:rPr>
          <w:rFonts w:ascii="Arial" w:hAnsi="Arial" w:cs="Arial"/>
          <w:sz w:val="24"/>
          <w:szCs w:val="24"/>
        </w:rPr>
        <w:t>power.</w:t>
      </w:r>
    </w:p>
    <w:p w14:paraId="495A6995" w14:textId="185C2D83" w:rsidR="001B25CC" w:rsidRPr="00B11188" w:rsidRDefault="001B25CC" w:rsidP="00EA4FCA">
      <w:pPr>
        <w:ind w:left="567"/>
        <w:rPr>
          <w:rFonts w:ascii="Arial" w:hAnsi="Arial" w:cs="Arial"/>
          <w:sz w:val="24"/>
          <w:szCs w:val="24"/>
        </w:rPr>
      </w:pPr>
      <w:r w:rsidRPr="008176BD">
        <w:rPr>
          <w:rFonts w:ascii="Arial" w:hAnsi="Arial" w:cs="Arial"/>
          <w:sz w:val="24"/>
          <w:szCs w:val="24"/>
        </w:rPr>
        <w:t xml:space="preserve">The value of this contract over its lifetime </w:t>
      </w:r>
      <w:r w:rsidR="00F67D8D" w:rsidRPr="008176BD">
        <w:rPr>
          <w:rFonts w:ascii="Arial" w:hAnsi="Arial" w:cs="Arial"/>
          <w:sz w:val="24"/>
          <w:szCs w:val="24"/>
        </w:rPr>
        <w:t>exceeds</w:t>
      </w:r>
      <w:r w:rsidRPr="008176BD">
        <w:rPr>
          <w:rFonts w:ascii="Arial" w:hAnsi="Arial" w:cs="Arial"/>
          <w:sz w:val="24"/>
          <w:szCs w:val="24"/>
        </w:rPr>
        <w:t xml:space="preserve"> </w:t>
      </w:r>
      <w:r w:rsidR="00F67D8D" w:rsidRPr="008176BD">
        <w:rPr>
          <w:rFonts w:ascii="Arial" w:hAnsi="Arial" w:cs="Arial"/>
          <w:sz w:val="24"/>
          <w:szCs w:val="24"/>
        </w:rPr>
        <w:t>the</w:t>
      </w:r>
      <w:r w:rsidRPr="008176BD">
        <w:rPr>
          <w:rFonts w:ascii="Arial" w:hAnsi="Arial" w:cs="Arial"/>
          <w:sz w:val="24"/>
          <w:szCs w:val="24"/>
        </w:rPr>
        <w:t xml:space="preserve"> </w:t>
      </w:r>
      <w:r w:rsidR="00F67D8D" w:rsidRPr="008176BD">
        <w:rPr>
          <w:rFonts w:ascii="Arial" w:hAnsi="Arial" w:cs="Arial"/>
          <w:sz w:val="24"/>
          <w:szCs w:val="24"/>
        </w:rPr>
        <w:t xml:space="preserve">financial </w:t>
      </w:r>
      <w:r w:rsidRPr="008176BD">
        <w:rPr>
          <w:rFonts w:ascii="Arial" w:hAnsi="Arial" w:cs="Arial"/>
          <w:sz w:val="24"/>
          <w:szCs w:val="24"/>
        </w:rPr>
        <w:t xml:space="preserve">threshold for Services/Supplies under </w:t>
      </w:r>
      <w:r w:rsidR="00FB229B" w:rsidRPr="00B11188">
        <w:rPr>
          <w:rFonts w:ascii="Arial" w:hAnsi="Arial" w:cs="Arial"/>
          <w:sz w:val="24"/>
          <w:szCs w:val="24"/>
        </w:rPr>
        <w:t>T</w:t>
      </w:r>
      <w:r w:rsidRPr="008176BD">
        <w:rPr>
          <w:rFonts w:ascii="Arial" w:hAnsi="Arial" w:cs="Arial"/>
          <w:sz w:val="24"/>
          <w:szCs w:val="24"/>
        </w:rPr>
        <w:t>he Public Contracts Regulations 2015 (PCR</w:t>
      </w:r>
      <w:r w:rsidR="00A71BDD" w:rsidRPr="00B11188">
        <w:rPr>
          <w:rFonts w:ascii="Arial" w:hAnsi="Arial" w:cs="Arial"/>
          <w:sz w:val="24"/>
          <w:szCs w:val="24"/>
        </w:rPr>
        <w:t xml:space="preserve"> 2015</w:t>
      </w:r>
      <w:r w:rsidRPr="008176BD">
        <w:rPr>
          <w:rFonts w:ascii="Arial" w:hAnsi="Arial" w:cs="Arial"/>
          <w:sz w:val="24"/>
          <w:szCs w:val="24"/>
        </w:rPr>
        <w:t xml:space="preserve">) and </w:t>
      </w:r>
      <w:r w:rsidR="00F420A1" w:rsidRPr="008176BD">
        <w:rPr>
          <w:rFonts w:ascii="Arial" w:hAnsi="Arial" w:cs="Arial"/>
          <w:sz w:val="24"/>
          <w:szCs w:val="24"/>
        </w:rPr>
        <w:t xml:space="preserve">therefore the Council must adhere to the requirements of the </w:t>
      </w:r>
      <w:r w:rsidRPr="008176BD">
        <w:rPr>
          <w:rFonts w:ascii="Arial" w:hAnsi="Arial" w:cs="Arial"/>
          <w:sz w:val="24"/>
          <w:szCs w:val="24"/>
        </w:rPr>
        <w:t>PCR 2015</w:t>
      </w:r>
      <w:r w:rsidR="00F420A1" w:rsidRPr="008176BD">
        <w:rPr>
          <w:rFonts w:ascii="Arial" w:hAnsi="Arial" w:cs="Arial"/>
          <w:sz w:val="24"/>
          <w:szCs w:val="24"/>
        </w:rPr>
        <w:t>, in addition to ensuring compliance with it</w:t>
      </w:r>
      <w:r w:rsidR="00CB68B4" w:rsidRPr="008176BD">
        <w:rPr>
          <w:rFonts w:ascii="Arial" w:hAnsi="Arial" w:cs="Arial"/>
          <w:sz w:val="24"/>
          <w:szCs w:val="24"/>
        </w:rPr>
        <w:t>s Constitution, which encompasses the Contract Procedure Rules</w:t>
      </w:r>
      <w:r w:rsidR="00FB229B" w:rsidRPr="00B11188">
        <w:rPr>
          <w:rFonts w:ascii="Arial" w:hAnsi="Arial" w:cs="Arial"/>
          <w:sz w:val="24"/>
          <w:szCs w:val="24"/>
        </w:rPr>
        <w:t xml:space="preserve"> (CPR)</w:t>
      </w:r>
      <w:r w:rsidR="00CB68B4" w:rsidRPr="008176BD">
        <w:rPr>
          <w:rFonts w:ascii="Arial" w:hAnsi="Arial" w:cs="Arial"/>
          <w:sz w:val="24"/>
          <w:szCs w:val="24"/>
        </w:rPr>
        <w:t xml:space="preserve">. </w:t>
      </w:r>
    </w:p>
    <w:p w14:paraId="737FD7B8" w14:textId="77777777" w:rsidR="00A71BDD" w:rsidRPr="00B11188" w:rsidRDefault="00932EC7" w:rsidP="00EA4FCA">
      <w:pPr>
        <w:ind w:left="567"/>
        <w:rPr>
          <w:rFonts w:ascii="Arial" w:hAnsi="Arial" w:cs="Arial"/>
          <w:sz w:val="24"/>
          <w:szCs w:val="24"/>
        </w:rPr>
      </w:pPr>
      <w:r w:rsidRPr="008176BD">
        <w:rPr>
          <w:rFonts w:ascii="Arial" w:hAnsi="Arial" w:cs="Arial"/>
          <w:sz w:val="24"/>
          <w:szCs w:val="24"/>
        </w:rPr>
        <w:t xml:space="preserve">As the estimated value of the procurement exceeds £500,000, approval to procure must be obtained by way of a Cabinet Report and a Cabinet decision </w:t>
      </w:r>
      <w:r w:rsidRPr="008176BD">
        <w:rPr>
          <w:rFonts w:ascii="Arial" w:hAnsi="Arial" w:cs="Arial"/>
          <w:sz w:val="24"/>
          <w:szCs w:val="24"/>
        </w:rPr>
        <w:lastRenderedPageBreak/>
        <w:t>must be obtained prior to any tender activity commencing (Table 1</w:t>
      </w:r>
      <w:r w:rsidR="009E6182" w:rsidRPr="008176BD">
        <w:rPr>
          <w:rFonts w:ascii="Arial" w:hAnsi="Arial" w:cs="Arial"/>
          <w:sz w:val="24"/>
          <w:szCs w:val="24"/>
        </w:rPr>
        <w:t>:</w:t>
      </w:r>
      <w:r w:rsidRPr="008176BD">
        <w:rPr>
          <w:rFonts w:ascii="Arial" w:hAnsi="Arial" w:cs="Arial"/>
          <w:sz w:val="24"/>
          <w:szCs w:val="24"/>
        </w:rPr>
        <w:t xml:space="preserve"> Authorisation and Acceptance Thresholds, CPR). </w:t>
      </w:r>
      <w:r w:rsidR="00B71986" w:rsidRPr="008176BD">
        <w:rPr>
          <w:rFonts w:ascii="Arial" w:hAnsi="Arial" w:cs="Arial"/>
          <w:sz w:val="24"/>
          <w:szCs w:val="24"/>
        </w:rPr>
        <w:t>When delegated authority to award has been approved by Cabinet then the Corporate Director that has been given the delegation to award must do so in consultation with the Portfolio Holder</w:t>
      </w:r>
      <w:r w:rsidR="00BA08BE" w:rsidRPr="008176BD">
        <w:rPr>
          <w:rFonts w:ascii="Arial" w:hAnsi="Arial" w:cs="Arial"/>
          <w:sz w:val="24"/>
          <w:szCs w:val="24"/>
        </w:rPr>
        <w:t xml:space="preserve"> </w:t>
      </w:r>
      <w:r w:rsidR="00B71986" w:rsidRPr="008176BD">
        <w:rPr>
          <w:rFonts w:ascii="Arial" w:hAnsi="Arial" w:cs="Arial"/>
          <w:sz w:val="24"/>
          <w:szCs w:val="24"/>
        </w:rPr>
        <w:t>for the service area and the Portfolio Holder</w:t>
      </w:r>
      <w:r w:rsidR="00BA08BE" w:rsidRPr="008176BD">
        <w:rPr>
          <w:rFonts w:ascii="Arial" w:hAnsi="Arial" w:cs="Arial"/>
          <w:sz w:val="24"/>
          <w:szCs w:val="24"/>
        </w:rPr>
        <w:t xml:space="preserve"> </w:t>
      </w:r>
      <w:r w:rsidR="00B71986" w:rsidRPr="008176BD">
        <w:rPr>
          <w:rFonts w:ascii="Arial" w:hAnsi="Arial" w:cs="Arial"/>
          <w:sz w:val="24"/>
          <w:szCs w:val="24"/>
        </w:rPr>
        <w:t>for Finance and Human Resource</w:t>
      </w:r>
      <w:r w:rsidR="00BA08BE" w:rsidRPr="008176BD">
        <w:rPr>
          <w:rFonts w:ascii="Arial" w:hAnsi="Arial" w:cs="Arial"/>
          <w:sz w:val="24"/>
          <w:szCs w:val="24"/>
        </w:rPr>
        <w:t>s.</w:t>
      </w:r>
      <w:r w:rsidR="00901D14" w:rsidRPr="008176BD">
        <w:rPr>
          <w:rFonts w:ascii="Arial" w:hAnsi="Arial" w:cs="Arial"/>
          <w:sz w:val="24"/>
          <w:szCs w:val="24"/>
        </w:rPr>
        <w:t xml:space="preserve"> </w:t>
      </w:r>
    </w:p>
    <w:p w14:paraId="4B10BA6C" w14:textId="04673264" w:rsidR="00932EC7" w:rsidRDefault="009B37A0" w:rsidP="00EA4FCA">
      <w:pPr>
        <w:ind w:left="567"/>
        <w:rPr>
          <w:rFonts w:ascii="Arial" w:hAnsi="Arial" w:cs="Arial"/>
          <w:sz w:val="24"/>
          <w:szCs w:val="24"/>
        </w:rPr>
      </w:pPr>
      <w:r w:rsidRPr="008176BD">
        <w:rPr>
          <w:rFonts w:ascii="Arial" w:hAnsi="Arial" w:cs="Arial"/>
          <w:sz w:val="24"/>
          <w:szCs w:val="24"/>
        </w:rPr>
        <w:t xml:space="preserve">The contract must be in a form approved by legal services (HB Public Law) on behalf of the Director of Legal and Governance. </w:t>
      </w:r>
      <w:r w:rsidR="004704F2" w:rsidRPr="008176BD">
        <w:rPr>
          <w:rFonts w:ascii="Arial" w:hAnsi="Arial" w:cs="Arial"/>
          <w:sz w:val="24"/>
          <w:szCs w:val="24"/>
        </w:rPr>
        <w:t>Given the</w:t>
      </w:r>
      <w:r w:rsidRPr="008176BD">
        <w:rPr>
          <w:rFonts w:ascii="Arial" w:hAnsi="Arial" w:cs="Arial"/>
          <w:sz w:val="24"/>
          <w:szCs w:val="24"/>
        </w:rPr>
        <w:t xml:space="preserve"> value of the contract and in accordance with CPR </w:t>
      </w:r>
      <w:r w:rsidR="004704F2" w:rsidRPr="008176BD">
        <w:rPr>
          <w:rFonts w:ascii="Arial" w:hAnsi="Arial" w:cs="Arial"/>
          <w:sz w:val="24"/>
          <w:szCs w:val="24"/>
        </w:rPr>
        <w:t xml:space="preserve">Paragraph </w:t>
      </w:r>
      <w:r w:rsidR="00373072" w:rsidRPr="008176BD">
        <w:rPr>
          <w:rFonts w:ascii="Arial" w:hAnsi="Arial" w:cs="Arial"/>
          <w:sz w:val="24"/>
          <w:szCs w:val="24"/>
        </w:rPr>
        <w:t>9.1.3</w:t>
      </w:r>
      <w:r w:rsidRPr="008176BD">
        <w:rPr>
          <w:rFonts w:ascii="Arial" w:hAnsi="Arial" w:cs="Arial"/>
          <w:sz w:val="24"/>
          <w:szCs w:val="24"/>
        </w:rPr>
        <w:t>, the contract must be sealed</w:t>
      </w:r>
      <w:r w:rsidR="00373072" w:rsidRPr="008176BD">
        <w:rPr>
          <w:rFonts w:ascii="Arial" w:hAnsi="Arial" w:cs="Arial"/>
          <w:sz w:val="24"/>
          <w:szCs w:val="24"/>
        </w:rPr>
        <w:t>.</w:t>
      </w:r>
      <w:r w:rsidR="00B11188" w:rsidRPr="008176BD">
        <w:rPr>
          <w:rFonts w:ascii="Arial" w:hAnsi="Arial" w:cs="Arial"/>
          <w:sz w:val="24"/>
          <w:szCs w:val="24"/>
        </w:rPr>
        <w:t xml:space="preserve"> </w:t>
      </w:r>
      <w:r w:rsidR="00901D14" w:rsidRPr="008176BD">
        <w:rPr>
          <w:rFonts w:ascii="Arial" w:hAnsi="Arial" w:cs="Arial"/>
          <w:sz w:val="24"/>
          <w:szCs w:val="24"/>
        </w:rPr>
        <w:t>Once the contract is awarded and finalised, HB</w:t>
      </w:r>
      <w:r w:rsidR="00B11188">
        <w:rPr>
          <w:rFonts w:ascii="Arial" w:hAnsi="Arial" w:cs="Arial"/>
          <w:sz w:val="24"/>
          <w:szCs w:val="24"/>
        </w:rPr>
        <w:t xml:space="preserve"> </w:t>
      </w:r>
      <w:r w:rsidR="00901D14" w:rsidRPr="008176BD">
        <w:rPr>
          <w:rFonts w:ascii="Arial" w:hAnsi="Arial" w:cs="Arial"/>
          <w:sz w:val="24"/>
          <w:szCs w:val="24"/>
        </w:rPr>
        <w:t>P</w:t>
      </w:r>
      <w:r w:rsidR="00B11188">
        <w:rPr>
          <w:rFonts w:ascii="Arial" w:hAnsi="Arial" w:cs="Arial"/>
          <w:sz w:val="24"/>
          <w:szCs w:val="24"/>
        </w:rPr>
        <w:t xml:space="preserve">ublic </w:t>
      </w:r>
      <w:r w:rsidR="00901D14" w:rsidRPr="008176BD">
        <w:rPr>
          <w:rFonts w:ascii="Arial" w:hAnsi="Arial" w:cs="Arial"/>
          <w:sz w:val="24"/>
          <w:szCs w:val="24"/>
        </w:rPr>
        <w:t>L</w:t>
      </w:r>
      <w:r w:rsidR="00B11188">
        <w:rPr>
          <w:rFonts w:ascii="Arial" w:hAnsi="Arial" w:cs="Arial"/>
          <w:sz w:val="24"/>
          <w:szCs w:val="24"/>
        </w:rPr>
        <w:t>aw</w:t>
      </w:r>
      <w:r w:rsidR="00901D14" w:rsidRPr="008176BD">
        <w:rPr>
          <w:rFonts w:ascii="Arial" w:hAnsi="Arial" w:cs="Arial"/>
          <w:sz w:val="24"/>
          <w:szCs w:val="24"/>
        </w:rPr>
        <w:t xml:space="preserve"> will process the contract through sealing. Regulation 108 PCR</w:t>
      </w:r>
      <w:r w:rsidR="00A71BDD" w:rsidRPr="008176BD">
        <w:rPr>
          <w:rFonts w:ascii="Arial" w:hAnsi="Arial" w:cs="Arial"/>
          <w:sz w:val="24"/>
          <w:szCs w:val="24"/>
        </w:rPr>
        <w:t xml:space="preserve"> 2015</w:t>
      </w:r>
      <w:r w:rsidR="00901D14" w:rsidRPr="008176BD">
        <w:rPr>
          <w:rFonts w:ascii="Arial" w:hAnsi="Arial" w:cs="Arial"/>
          <w:sz w:val="24"/>
          <w:szCs w:val="24"/>
        </w:rPr>
        <w:t xml:space="preserve"> requires the Council to publish contract award information on Contracts Finder within a reasonable time of the award of contract.</w:t>
      </w:r>
    </w:p>
    <w:p w14:paraId="5A0EE316" w14:textId="5DC97009" w:rsidR="00E7625C" w:rsidRPr="0044606D" w:rsidRDefault="00E7625C" w:rsidP="00EA4FCA">
      <w:pPr>
        <w:tabs>
          <w:tab w:val="left" w:pos="567"/>
        </w:tabs>
        <w:spacing w:after="0"/>
        <w:rPr>
          <w:rFonts w:ascii="Arial" w:hAnsi="Arial" w:cs="Arial"/>
          <w:sz w:val="24"/>
          <w:szCs w:val="24"/>
          <w:u w:val="single"/>
        </w:rPr>
      </w:pPr>
      <w:r w:rsidRPr="00E7625C">
        <w:rPr>
          <w:rFonts w:ascii="Arial" w:hAnsi="Arial" w:cs="Arial"/>
          <w:sz w:val="24"/>
          <w:szCs w:val="24"/>
        </w:rPr>
        <w:tab/>
      </w:r>
      <w:r w:rsidRPr="0044606D">
        <w:rPr>
          <w:rFonts w:ascii="Arial" w:hAnsi="Arial" w:cs="Arial"/>
          <w:sz w:val="24"/>
          <w:szCs w:val="24"/>
          <w:u w:val="single"/>
        </w:rPr>
        <w:t xml:space="preserve">Public Sector Equality Duty </w:t>
      </w:r>
    </w:p>
    <w:p w14:paraId="082AA4A1" w14:textId="77777777" w:rsidR="00E7625C" w:rsidRPr="00215E50" w:rsidRDefault="00E7625C" w:rsidP="00EA4FCA">
      <w:pPr>
        <w:ind w:left="567"/>
        <w:rPr>
          <w:rFonts w:ascii="Arial" w:hAnsi="Arial" w:cs="Arial"/>
          <w:sz w:val="24"/>
          <w:szCs w:val="24"/>
        </w:rPr>
      </w:pPr>
      <w:r w:rsidRPr="00215E50">
        <w:rPr>
          <w:rFonts w:ascii="Arial" w:hAnsi="Arial" w:cs="Arial"/>
          <w:sz w:val="24"/>
          <w:szCs w:val="24"/>
        </w:rPr>
        <w:t>The public sector equality duty, as set out in section 149 of the Equalit</w:t>
      </w:r>
      <w:r>
        <w:rPr>
          <w:rFonts w:ascii="Arial" w:hAnsi="Arial" w:cs="Arial"/>
          <w:sz w:val="24"/>
          <w:szCs w:val="24"/>
        </w:rPr>
        <w:t>y</w:t>
      </w:r>
      <w:r w:rsidRPr="00215E50">
        <w:rPr>
          <w:rFonts w:ascii="Arial" w:hAnsi="Arial" w:cs="Arial"/>
          <w:sz w:val="24"/>
          <w:szCs w:val="24"/>
        </w:rPr>
        <w:t xml:space="preserve"> Act 2010, requires the Council, when exercising its functions, to have “due regard” to the need to eliminate discrimination, harassment and victimisation and other conduct prohibited under the Act, and to advance equality of opportunity and foster good relations between those who have a “protected characteristic” and those who do not share that protected characteristic. The protected characteristics are: age, disability, gender reassignment, marriage and civil partnership, pregnancy and maternity, race, religion or belief, sex, and sexual orientation. </w:t>
      </w:r>
    </w:p>
    <w:p w14:paraId="66FA5B99" w14:textId="77777777" w:rsidR="00E7625C" w:rsidRPr="00215E50" w:rsidRDefault="00E7625C" w:rsidP="00EA4FCA">
      <w:pPr>
        <w:tabs>
          <w:tab w:val="left" w:pos="567"/>
        </w:tabs>
        <w:ind w:left="567" w:hanging="567"/>
        <w:rPr>
          <w:rFonts w:ascii="Arial" w:hAnsi="Arial" w:cs="Arial"/>
          <w:sz w:val="24"/>
          <w:szCs w:val="24"/>
        </w:rPr>
      </w:pPr>
      <w:r>
        <w:rPr>
          <w:rFonts w:ascii="Arial" w:hAnsi="Arial" w:cs="Arial"/>
          <w:sz w:val="24"/>
          <w:szCs w:val="24"/>
        </w:rPr>
        <w:tab/>
      </w:r>
      <w:r w:rsidRPr="00215E50">
        <w:rPr>
          <w:rFonts w:ascii="Arial" w:hAnsi="Arial" w:cs="Arial"/>
          <w:sz w:val="24"/>
          <w:szCs w:val="24"/>
        </w:rPr>
        <w:t>This includes enquiring into whether and how a proposed decision disproportionately affects people with a protected characteristic and the need to consider taking steps to meet the needs of persons who share a protected characteristic that are different from the needs of persons who do not share it. This includes removing or minimising disadvantages suffered by persons who share a protected characteristic that are connected to that characteristic.</w:t>
      </w:r>
    </w:p>
    <w:p w14:paraId="2D98F5BE" w14:textId="77777777" w:rsidR="00E7625C" w:rsidRPr="00215E50" w:rsidRDefault="00E7625C" w:rsidP="00EA4FCA">
      <w:pPr>
        <w:tabs>
          <w:tab w:val="left" w:pos="567"/>
        </w:tabs>
        <w:ind w:left="567" w:hanging="567"/>
        <w:rPr>
          <w:rFonts w:ascii="Arial" w:hAnsi="Arial" w:cs="Arial"/>
          <w:sz w:val="24"/>
          <w:szCs w:val="24"/>
        </w:rPr>
      </w:pPr>
      <w:r>
        <w:rPr>
          <w:rFonts w:ascii="Arial" w:hAnsi="Arial" w:cs="Arial"/>
          <w:sz w:val="24"/>
          <w:szCs w:val="24"/>
        </w:rPr>
        <w:tab/>
      </w:r>
      <w:r w:rsidRPr="00215E50">
        <w:rPr>
          <w:rFonts w:ascii="Arial" w:hAnsi="Arial" w:cs="Arial"/>
          <w:sz w:val="24"/>
          <w:szCs w:val="24"/>
        </w:rPr>
        <w:t>In considering the recommendations submitted within this report, an Equality</w:t>
      </w:r>
      <w:r>
        <w:rPr>
          <w:rFonts w:ascii="Arial" w:hAnsi="Arial" w:cs="Arial"/>
          <w:sz w:val="24"/>
          <w:szCs w:val="24"/>
        </w:rPr>
        <w:t xml:space="preserve"> Impact Assessment</w:t>
      </w:r>
      <w:r w:rsidRPr="00215E50">
        <w:rPr>
          <w:rFonts w:ascii="Arial" w:hAnsi="Arial" w:cs="Arial"/>
          <w:sz w:val="24"/>
          <w:szCs w:val="24"/>
        </w:rPr>
        <w:t xml:space="preserve"> </w:t>
      </w:r>
      <w:r w:rsidRPr="00CA7602">
        <w:rPr>
          <w:rFonts w:ascii="Arial" w:hAnsi="Arial" w:cs="Arial"/>
          <w:sz w:val="24"/>
          <w:szCs w:val="24"/>
        </w:rPr>
        <w:t>has been</w:t>
      </w:r>
      <w:r w:rsidRPr="00215E50">
        <w:rPr>
          <w:rFonts w:ascii="Arial" w:hAnsi="Arial" w:cs="Arial"/>
          <w:sz w:val="24"/>
          <w:szCs w:val="24"/>
        </w:rPr>
        <w:t xml:space="preserve"> undertaken to ensure that any potential adverse impact to groups sharing a protected characteristic has been identified, evaluated, and mitigated wherever possible. The analysis has not identified the potential for an adverse impact at this stage. </w:t>
      </w:r>
    </w:p>
    <w:p w14:paraId="601848D9" w14:textId="77777777" w:rsidR="00E7625C" w:rsidRDefault="00E7625C" w:rsidP="00EA4FCA">
      <w:pPr>
        <w:tabs>
          <w:tab w:val="left" w:pos="567"/>
        </w:tabs>
        <w:ind w:left="567" w:hanging="567"/>
        <w:rPr>
          <w:rFonts w:ascii="Arial" w:hAnsi="Arial" w:cs="Arial"/>
          <w:sz w:val="24"/>
          <w:szCs w:val="24"/>
        </w:rPr>
      </w:pPr>
      <w:r>
        <w:rPr>
          <w:rFonts w:ascii="Arial" w:hAnsi="Arial" w:cs="Arial"/>
          <w:sz w:val="24"/>
          <w:szCs w:val="24"/>
        </w:rPr>
        <w:tab/>
        <w:t>H</w:t>
      </w:r>
      <w:r w:rsidRPr="00215E50">
        <w:rPr>
          <w:rFonts w:ascii="Arial" w:hAnsi="Arial" w:cs="Arial"/>
          <w:sz w:val="24"/>
          <w:szCs w:val="24"/>
        </w:rPr>
        <w:t xml:space="preserve">owever, any equalities implications arising from the individual recommendations will continue to be considered and assessed as further data/information is obtained or becomes available during the decision-making process.   </w:t>
      </w:r>
    </w:p>
    <w:p w14:paraId="1EAF89F8" w14:textId="2F1DE04F" w:rsidR="00E7625C" w:rsidRPr="00582D32" w:rsidRDefault="00E7625C" w:rsidP="00EA4FCA">
      <w:pPr>
        <w:tabs>
          <w:tab w:val="left" w:pos="567"/>
        </w:tabs>
        <w:spacing w:after="0"/>
        <w:rPr>
          <w:rFonts w:ascii="Arial" w:hAnsi="Arial" w:cs="Arial"/>
          <w:b/>
          <w:bCs/>
          <w:sz w:val="24"/>
          <w:szCs w:val="24"/>
        </w:rPr>
      </w:pPr>
      <w:r w:rsidRPr="00E7625C">
        <w:rPr>
          <w:rFonts w:ascii="Arial" w:hAnsi="Arial" w:cs="Arial"/>
          <w:sz w:val="24"/>
          <w:szCs w:val="24"/>
        </w:rPr>
        <w:tab/>
      </w:r>
      <w:r w:rsidRPr="0044606D">
        <w:rPr>
          <w:rFonts w:ascii="Arial" w:hAnsi="Arial" w:cs="Arial"/>
          <w:sz w:val="24"/>
          <w:szCs w:val="24"/>
          <w:u w:val="single"/>
        </w:rPr>
        <w:t>TUPE and Pensions</w:t>
      </w:r>
      <w:r w:rsidRPr="00582D32">
        <w:rPr>
          <w:rFonts w:ascii="Arial" w:hAnsi="Arial" w:cs="Arial"/>
          <w:b/>
          <w:bCs/>
          <w:sz w:val="24"/>
          <w:szCs w:val="24"/>
        </w:rPr>
        <w:t xml:space="preserve"> </w:t>
      </w:r>
    </w:p>
    <w:p w14:paraId="4F4CC077" w14:textId="77777777" w:rsidR="00E7625C" w:rsidRPr="00215E50" w:rsidRDefault="00E7625C" w:rsidP="00EA4FCA">
      <w:pPr>
        <w:tabs>
          <w:tab w:val="left" w:pos="567"/>
        </w:tabs>
        <w:ind w:left="567" w:hanging="567"/>
        <w:rPr>
          <w:rFonts w:ascii="Arial" w:hAnsi="Arial" w:cs="Arial"/>
          <w:sz w:val="24"/>
          <w:szCs w:val="24"/>
        </w:rPr>
      </w:pPr>
      <w:r>
        <w:rPr>
          <w:rFonts w:ascii="Arial" w:hAnsi="Arial" w:cs="Arial"/>
          <w:sz w:val="24"/>
          <w:szCs w:val="24"/>
        </w:rPr>
        <w:tab/>
      </w:r>
      <w:r w:rsidRPr="00215E50">
        <w:rPr>
          <w:rFonts w:ascii="Arial" w:hAnsi="Arial" w:cs="Arial"/>
          <w:sz w:val="24"/>
          <w:szCs w:val="24"/>
        </w:rPr>
        <w:t xml:space="preserve">As there is no proposal to transfer work </w:t>
      </w:r>
      <w:r>
        <w:rPr>
          <w:rFonts w:ascii="Arial" w:hAnsi="Arial" w:cs="Arial"/>
          <w:sz w:val="24"/>
          <w:szCs w:val="24"/>
        </w:rPr>
        <w:t xml:space="preserve">currently </w:t>
      </w:r>
      <w:r w:rsidRPr="00215E50">
        <w:rPr>
          <w:rFonts w:ascii="Arial" w:hAnsi="Arial" w:cs="Arial"/>
          <w:sz w:val="24"/>
          <w:szCs w:val="24"/>
        </w:rPr>
        <w:t xml:space="preserve">carried out by existing Council employees to a </w:t>
      </w:r>
      <w:r>
        <w:rPr>
          <w:rFonts w:ascii="Arial" w:hAnsi="Arial" w:cs="Arial"/>
          <w:sz w:val="24"/>
          <w:szCs w:val="24"/>
        </w:rPr>
        <w:t>third-party supplier, T</w:t>
      </w:r>
      <w:r w:rsidRPr="00215E50">
        <w:rPr>
          <w:rFonts w:ascii="Arial" w:hAnsi="Arial" w:cs="Arial"/>
          <w:sz w:val="24"/>
          <w:szCs w:val="24"/>
        </w:rPr>
        <w:t>UPE shall not affect any Council employees. However, in the case of work activities currently carried out by the existing supplier’s employees, TUPE and Pensions implications</w:t>
      </w:r>
      <w:r>
        <w:rPr>
          <w:rFonts w:ascii="Arial" w:hAnsi="Arial" w:cs="Arial"/>
          <w:sz w:val="24"/>
          <w:szCs w:val="24"/>
        </w:rPr>
        <w:t xml:space="preserve"> are anticipated,</w:t>
      </w:r>
      <w:r w:rsidRPr="00215E50">
        <w:rPr>
          <w:rFonts w:ascii="Arial" w:hAnsi="Arial" w:cs="Arial"/>
          <w:sz w:val="24"/>
          <w:szCs w:val="24"/>
        </w:rPr>
        <w:t xml:space="preserve"> </w:t>
      </w:r>
      <w:r w:rsidRPr="00215E50">
        <w:rPr>
          <w:rFonts w:ascii="Arial" w:hAnsi="Arial" w:cs="Arial"/>
          <w:sz w:val="24"/>
          <w:szCs w:val="24"/>
        </w:rPr>
        <w:lastRenderedPageBreak/>
        <w:t>that will need to be addressed through the procurement arrangements and contract documentation for retender of the service, should the recommendations in this report be agreed</w:t>
      </w:r>
      <w:r w:rsidRPr="00B34075">
        <w:rPr>
          <w:rFonts w:ascii="Arial" w:hAnsi="Arial" w:cs="Arial"/>
          <w:sz w:val="24"/>
          <w:szCs w:val="24"/>
        </w:rPr>
        <w:t xml:space="preserve">. If </w:t>
      </w:r>
      <w:r w:rsidRPr="008176BD">
        <w:rPr>
          <w:rFonts w:ascii="Arial" w:hAnsi="Arial" w:cs="Arial"/>
          <w:sz w:val="24"/>
          <w:szCs w:val="24"/>
        </w:rPr>
        <w:t>TUPE is deemed to apply, it will apply as a matter of law.</w:t>
      </w:r>
    </w:p>
    <w:p w14:paraId="4E80791C" w14:textId="7FD3CEF4" w:rsidR="00E7625C" w:rsidRPr="00E3014A" w:rsidRDefault="00E7625C" w:rsidP="00EA4FCA">
      <w:pPr>
        <w:tabs>
          <w:tab w:val="left" w:pos="567"/>
        </w:tabs>
        <w:spacing w:after="0"/>
        <w:rPr>
          <w:rFonts w:ascii="Arial" w:hAnsi="Arial" w:cs="Arial"/>
          <w:b/>
          <w:bCs/>
          <w:sz w:val="28"/>
          <w:szCs w:val="28"/>
        </w:rPr>
      </w:pPr>
      <w:r w:rsidRPr="00E7625C">
        <w:rPr>
          <w:rFonts w:ascii="Arial" w:hAnsi="Arial" w:cs="Arial"/>
          <w:sz w:val="24"/>
          <w:szCs w:val="24"/>
        </w:rPr>
        <w:tab/>
      </w:r>
      <w:r w:rsidRPr="0044606D">
        <w:rPr>
          <w:rFonts w:ascii="Arial" w:hAnsi="Arial" w:cs="Arial"/>
          <w:sz w:val="24"/>
          <w:szCs w:val="24"/>
          <w:u w:val="single"/>
        </w:rPr>
        <w:t>Public Services (Social Value) Act</w:t>
      </w:r>
      <w:r w:rsidRPr="00E3014A">
        <w:rPr>
          <w:rFonts w:ascii="Arial" w:hAnsi="Arial" w:cs="Arial"/>
          <w:b/>
          <w:bCs/>
          <w:sz w:val="28"/>
          <w:szCs w:val="28"/>
        </w:rPr>
        <w:t xml:space="preserve"> </w:t>
      </w:r>
    </w:p>
    <w:p w14:paraId="31B305E2" w14:textId="77777777" w:rsidR="00E7625C" w:rsidRPr="00215E50" w:rsidRDefault="00E7625C" w:rsidP="00EA4FCA">
      <w:pPr>
        <w:tabs>
          <w:tab w:val="left" w:pos="567"/>
        </w:tabs>
        <w:ind w:left="567" w:hanging="567"/>
        <w:rPr>
          <w:rFonts w:ascii="Arial" w:hAnsi="Arial" w:cs="Arial"/>
          <w:sz w:val="24"/>
          <w:szCs w:val="24"/>
        </w:rPr>
      </w:pPr>
      <w:r>
        <w:rPr>
          <w:rFonts w:ascii="Arial" w:hAnsi="Arial" w:cs="Arial"/>
          <w:sz w:val="24"/>
          <w:szCs w:val="24"/>
        </w:rPr>
        <w:tab/>
      </w:r>
      <w:r w:rsidRPr="00215E50">
        <w:rPr>
          <w:rFonts w:ascii="Arial" w:hAnsi="Arial" w:cs="Arial"/>
          <w:sz w:val="24"/>
          <w:szCs w:val="24"/>
        </w:rPr>
        <w:t xml:space="preserve">The Public Services (Social Value) Act 2012 requires the Council, when procuring services, to consider whether it can achieve an improvement to the economic, social, and environmental well-being of an area as part of the procurement of those services. If so, the social value objectives identified must be written into the procurement process. This must be achieved with regard to value for money and in a way that is compliant with public procurement law. </w:t>
      </w:r>
    </w:p>
    <w:p w14:paraId="3BF5795B" w14:textId="2D91BB08" w:rsidR="00E7625C" w:rsidRPr="00215E50" w:rsidRDefault="00E7625C" w:rsidP="00EA4FCA">
      <w:pPr>
        <w:tabs>
          <w:tab w:val="left" w:pos="567"/>
        </w:tabs>
        <w:ind w:left="567" w:hanging="567"/>
        <w:rPr>
          <w:rFonts w:ascii="Arial" w:hAnsi="Arial" w:cs="Arial"/>
          <w:sz w:val="24"/>
          <w:szCs w:val="24"/>
        </w:rPr>
      </w:pPr>
      <w:r>
        <w:rPr>
          <w:rFonts w:ascii="Arial" w:hAnsi="Arial" w:cs="Arial"/>
          <w:sz w:val="24"/>
          <w:szCs w:val="24"/>
        </w:rPr>
        <w:tab/>
      </w:r>
      <w:r w:rsidRPr="00CA7602">
        <w:rPr>
          <w:rFonts w:ascii="Arial" w:hAnsi="Arial" w:cs="Arial"/>
          <w:sz w:val="24"/>
          <w:szCs w:val="24"/>
        </w:rPr>
        <w:t xml:space="preserve">Appendix </w:t>
      </w:r>
      <w:r w:rsidR="00A8331D">
        <w:rPr>
          <w:rFonts w:ascii="Arial" w:hAnsi="Arial" w:cs="Arial"/>
          <w:sz w:val="24"/>
          <w:szCs w:val="24"/>
        </w:rPr>
        <w:t>1</w:t>
      </w:r>
      <w:r w:rsidRPr="00CA7602">
        <w:rPr>
          <w:rFonts w:ascii="Arial" w:hAnsi="Arial" w:cs="Arial"/>
          <w:sz w:val="24"/>
          <w:szCs w:val="24"/>
        </w:rPr>
        <w:t xml:space="preserve"> to this report provides for the inclusion of Social Value within the price and quality weightings proposed and in accordance with the recommendations set out within Section 1 of this report.  It is proposed within Appendix </w:t>
      </w:r>
      <w:r w:rsidR="007C4A96">
        <w:rPr>
          <w:rFonts w:ascii="Arial" w:hAnsi="Arial" w:cs="Arial"/>
          <w:sz w:val="24"/>
          <w:szCs w:val="24"/>
        </w:rPr>
        <w:t>1</w:t>
      </w:r>
      <w:r w:rsidRPr="00CA7602">
        <w:rPr>
          <w:rFonts w:ascii="Arial" w:hAnsi="Arial" w:cs="Arial"/>
          <w:sz w:val="24"/>
          <w:szCs w:val="24"/>
        </w:rPr>
        <w:t>, that a Social Value weighting of 10% is applied</w:t>
      </w:r>
      <w:r>
        <w:rPr>
          <w:rFonts w:ascii="Arial" w:hAnsi="Arial" w:cs="Arial"/>
          <w:sz w:val="24"/>
          <w:szCs w:val="24"/>
        </w:rPr>
        <w:t xml:space="preserve"> </w:t>
      </w:r>
      <w:r w:rsidRPr="00CA7602">
        <w:rPr>
          <w:rFonts w:ascii="Arial" w:hAnsi="Arial" w:cs="Arial"/>
          <w:sz w:val="24"/>
          <w:szCs w:val="24"/>
        </w:rPr>
        <w:t xml:space="preserve">for the purposes of the tender evaluation.  </w:t>
      </w:r>
      <w:r w:rsidRPr="00215E50">
        <w:rPr>
          <w:rFonts w:ascii="Arial" w:hAnsi="Arial" w:cs="Arial"/>
          <w:sz w:val="24"/>
          <w:szCs w:val="24"/>
        </w:rPr>
        <w:t xml:space="preserve"> </w:t>
      </w:r>
    </w:p>
    <w:p w14:paraId="533D721F" w14:textId="12071F51" w:rsidR="00E7625C" w:rsidRPr="0044606D" w:rsidRDefault="00E7625C" w:rsidP="00EA4FCA">
      <w:pPr>
        <w:tabs>
          <w:tab w:val="left" w:pos="567"/>
        </w:tabs>
        <w:spacing w:after="0"/>
        <w:rPr>
          <w:rFonts w:ascii="Arial" w:hAnsi="Arial" w:cs="Arial"/>
          <w:sz w:val="24"/>
          <w:szCs w:val="24"/>
          <w:u w:val="single"/>
        </w:rPr>
      </w:pPr>
      <w:r w:rsidRPr="00E7625C">
        <w:rPr>
          <w:rFonts w:ascii="Arial" w:hAnsi="Arial" w:cs="Arial"/>
          <w:sz w:val="24"/>
          <w:szCs w:val="24"/>
        </w:rPr>
        <w:tab/>
      </w:r>
      <w:r w:rsidRPr="0044606D">
        <w:rPr>
          <w:rFonts w:ascii="Arial" w:hAnsi="Arial" w:cs="Arial"/>
          <w:sz w:val="24"/>
          <w:szCs w:val="24"/>
          <w:u w:val="single"/>
        </w:rPr>
        <w:t>Contracting out Regulations and Orders</w:t>
      </w:r>
    </w:p>
    <w:p w14:paraId="774FF5D6" w14:textId="77777777" w:rsidR="00E7625C" w:rsidRPr="00C30F72" w:rsidRDefault="00E7625C" w:rsidP="00EA4FCA">
      <w:pPr>
        <w:tabs>
          <w:tab w:val="left" w:pos="567"/>
        </w:tabs>
        <w:ind w:left="567" w:hanging="567"/>
        <w:rPr>
          <w:rFonts w:ascii="Arial" w:hAnsi="Arial" w:cs="Arial"/>
          <w:sz w:val="24"/>
          <w:szCs w:val="24"/>
        </w:rPr>
      </w:pPr>
      <w:r w:rsidRPr="00C30F72">
        <w:rPr>
          <w:rFonts w:ascii="Arial" w:hAnsi="Arial" w:cs="Arial"/>
          <w:sz w:val="24"/>
          <w:szCs w:val="24"/>
        </w:rPr>
        <w:tab/>
        <w:t xml:space="preserve">The Local Authorities (Contracting out of Tax Billing, Collection and Enforcement Functions) Order 1996 applies to the administration of Council Tax and Business Rates services and clarifies the roles and responsibilities reserved for a Local Authority and those that may be provided by a service provider. </w:t>
      </w:r>
    </w:p>
    <w:p w14:paraId="51970622" w14:textId="77777777" w:rsidR="00E7625C" w:rsidRDefault="00E7625C" w:rsidP="00EA4FCA">
      <w:pPr>
        <w:tabs>
          <w:tab w:val="left" w:pos="567"/>
        </w:tabs>
        <w:ind w:left="567" w:hanging="567"/>
        <w:rPr>
          <w:rFonts w:ascii="Arial" w:hAnsi="Arial" w:cs="Arial"/>
          <w:sz w:val="24"/>
          <w:szCs w:val="24"/>
        </w:rPr>
      </w:pPr>
      <w:r>
        <w:rPr>
          <w:rFonts w:ascii="Arial" w:hAnsi="Arial" w:cs="Arial"/>
          <w:sz w:val="24"/>
          <w:szCs w:val="24"/>
        </w:rPr>
        <w:tab/>
      </w:r>
      <w:r w:rsidRPr="00C30F72">
        <w:rPr>
          <w:rFonts w:ascii="Arial" w:hAnsi="Arial" w:cs="Arial"/>
          <w:sz w:val="24"/>
          <w:szCs w:val="24"/>
        </w:rPr>
        <w:t xml:space="preserve">The </w:t>
      </w:r>
      <w:r w:rsidRPr="00C30F72">
        <w:rPr>
          <w:rFonts w:ascii="Arial" w:hAnsi="Arial" w:cs="Arial"/>
          <w:color w:val="000000"/>
          <w:sz w:val="24"/>
          <w:szCs w:val="24"/>
        </w:rPr>
        <w:t>Contracting Out (Functions of Local Authorities: Income-Related Benefits) Order 2002</w:t>
      </w:r>
      <w:r>
        <w:rPr>
          <w:rFonts w:ascii="Arial" w:hAnsi="Arial" w:cs="Arial"/>
          <w:color w:val="000000"/>
          <w:sz w:val="24"/>
          <w:szCs w:val="24"/>
        </w:rPr>
        <w:t xml:space="preserve">, </w:t>
      </w:r>
      <w:r w:rsidRPr="00C30F72">
        <w:rPr>
          <w:rFonts w:ascii="Arial" w:hAnsi="Arial" w:cs="Arial"/>
          <w:color w:val="000000"/>
          <w:sz w:val="24"/>
          <w:szCs w:val="24"/>
        </w:rPr>
        <w:t xml:space="preserve">similarly clarifies the roles and responsibilities reserved for a </w:t>
      </w:r>
      <w:r w:rsidRPr="00C30F72">
        <w:rPr>
          <w:rFonts w:ascii="Arial" w:hAnsi="Arial" w:cs="Arial"/>
          <w:sz w:val="24"/>
          <w:szCs w:val="24"/>
        </w:rPr>
        <w:t xml:space="preserve">Local Authority and those that may be provided by a service provider. </w:t>
      </w:r>
    </w:p>
    <w:p w14:paraId="3B2BDE2E" w14:textId="19CD1CFD" w:rsidR="000C38FF" w:rsidRPr="000C38FF" w:rsidRDefault="000C38FF" w:rsidP="00EA4FCA">
      <w:pPr>
        <w:ind w:left="567" w:hanging="567"/>
        <w:rPr>
          <w:rFonts w:ascii="Arial" w:hAnsi="Arial" w:cs="Arial"/>
          <w:b/>
          <w:bCs/>
          <w:sz w:val="24"/>
          <w:szCs w:val="24"/>
        </w:rPr>
      </w:pPr>
      <w:r w:rsidRPr="008176BD">
        <w:rPr>
          <w:rFonts w:ascii="Arial" w:hAnsi="Arial" w:cs="Arial"/>
          <w:b/>
          <w:bCs/>
          <w:sz w:val="24"/>
          <w:szCs w:val="24"/>
        </w:rPr>
        <w:t xml:space="preserve">Procurement Implications </w:t>
      </w:r>
    </w:p>
    <w:p w14:paraId="67C7AD95" w14:textId="05E4106E" w:rsidR="004740B6" w:rsidRPr="0044606D" w:rsidRDefault="003B3B1F" w:rsidP="00EA4FCA">
      <w:pPr>
        <w:tabs>
          <w:tab w:val="left" w:pos="567"/>
        </w:tabs>
        <w:spacing w:after="0"/>
        <w:rPr>
          <w:rFonts w:ascii="Arial" w:hAnsi="Arial" w:cs="Arial"/>
          <w:sz w:val="24"/>
          <w:szCs w:val="24"/>
          <w:u w:val="single"/>
        </w:rPr>
      </w:pPr>
      <w:r>
        <w:rPr>
          <w:rFonts w:ascii="Arial" w:hAnsi="Arial" w:cs="Arial"/>
          <w:b/>
          <w:bCs/>
          <w:sz w:val="24"/>
          <w:szCs w:val="24"/>
        </w:rPr>
        <w:t>4.1</w:t>
      </w:r>
      <w:r w:rsidR="00B72782" w:rsidRPr="00215E50">
        <w:rPr>
          <w:rFonts w:ascii="Arial" w:hAnsi="Arial" w:cs="Arial"/>
          <w:b/>
          <w:bCs/>
          <w:sz w:val="24"/>
          <w:szCs w:val="24"/>
        </w:rPr>
        <w:t xml:space="preserve"> </w:t>
      </w:r>
      <w:r w:rsidR="00097249" w:rsidRPr="00215E50">
        <w:rPr>
          <w:rFonts w:ascii="Arial" w:hAnsi="Arial" w:cs="Arial"/>
          <w:b/>
          <w:bCs/>
          <w:sz w:val="24"/>
          <w:szCs w:val="24"/>
        </w:rPr>
        <w:tab/>
      </w:r>
      <w:r w:rsidR="00B72782" w:rsidRPr="0044606D">
        <w:rPr>
          <w:rFonts w:ascii="Arial" w:hAnsi="Arial" w:cs="Arial"/>
          <w:sz w:val="24"/>
          <w:szCs w:val="24"/>
          <w:u w:val="single"/>
        </w:rPr>
        <w:t xml:space="preserve">Procurement </w:t>
      </w:r>
    </w:p>
    <w:p w14:paraId="44C8AC39" w14:textId="0A159E0B" w:rsidR="00C56A49" w:rsidRDefault="00B72782" w:rsidP="00EA4FCA">
      <w:pPr>
        <w:ind w:left="567"/>
        <w:rPr>
          <w:rFonts w:ascii="Arial" w:hAnsi="Arial" w:cs="Arial"/>
          <w:sz w:val="24"/>
          <w:szCs w:val="24"/>
        </w:rPr>
      </w:pPr>
      <w:r w:rsidRPr="00215E50">
        <w:rPr>
          <w:rFonts w:ascii="Arial" w:hAnsi="Arial" w:cs="Arial"/>
          <w:sz w:val="24"/>
          <w:szCs w:val="24"/>
        </w:rPr>
        <w:t xml:space="preserve">The estimated total </w:t>
      </w:r>
      <w:r w:rsidR="002E01FB">
        <w:rPr>
          <w:rFonts w:ascii="Arial" w:hAnsi="Arial" w:cs="Arial"/>
          <w:sz w:val="24"/>
          <w:szCs w:val="24"/>
        </w:rPr>
        <w:t>procurement</w:t>
      </w:r>
      <w:r w:rsidR="009D6EC3">
        <w:rPr>
          <w:rFonts w:ascii="Arial" w:hAnsi="Arial" w:cs="Arial"/>
          <w:sz w:val="24"/>
          <w:szCs w:val="24"/>
        </w:rPr>
        <w:t xml:space="preserve"> </w:t>
      </w:r>
      <w:r w:rsidRPr="00215E50">
        <w:rPr>
          <w:rFonts w:ascii="Arial" w:hAnsi="Arial" w:cs="Arial"/>
          <w:sz w:val="24"/>
          <w:szCs w:val="24"/>
        </w:rPr>
        <w:t xml:space="preserve">value of the Service </w:t>
      </w:r>
      <w:r w:rsidR="00C56A49">
        <w:rPr>
          <w:rFonts w:ascii="Arial" w:hAnsi="Arial" w:cs="Arial"/>
          <w:sz w:val="24"/>
          <w:szCs w:val="24"/>
        </w:rPr>
        <w:t xml:space="preserve">contract </w:t>
      </w:r>
      <w:r w:rsidRPr="00215E50">
        <w:rPr>
          <w:rFonts w:ascii="Arial" w:hAnsi="Arial" w:cs="Arial"/>
          <w:sz w:val="24"/>
          <w:szCs w:val="24"/>
        </w:rPr>
        <w:t xml:space="preserve">recommended to be </w:t>
      </w:r>
      <w:r w:rsidR="00DD4170" w:rsidRPr="00215E50">
        <w:rPr>
          <w:rFonts w:ascii="Arial" w:hAnsi="Arial" w:cs="Arial"/>
          <w:sz w:val="24"/>
          <w:szCs w:val="24"/>
        </w:rPr>
        <w:t xml:space="preserve">subject to procurement </w:t>
      </w:r>
      <w:r w:rsidRPr="009D1198">
        <w:rPr>
          <w:rFonts w:ascii="Arial" w:hAnsi="Arial" w:cs="Arial"/>
          <w:sz w:val="24"/>
          <w:szCs w:val="24"/>
        </w:rPr>
        <w:t>is</w:t>
      </w:r>
      <w:r w:rsidR="00CA7602" w:rsidRPr="009D1198">
        <w:rPr>
          <w:rFonts w:ascii="Arial" w:hAnsi="Arial" w:cs="Arial"/>
          <w:sz w:val="24"/>
          <w:szCs w:val="24"/>
        </w:rPr>
        <w:t xml:space="preserve"> </w:t>
      </w:r>
      <w:r w:rsidR="00CA7602" w:rsidRPr="00627F87">
        <w:rPr>
          <w:rFonts w:ascii="Arial" w:hAnsi="Arial" w:cs="Arial"/>
          <w:sz w:val="24"/>
          <w:szCs w:val="24"/>
        </w:rPr>
        <w:t xml:space="preserve">£9.2M </w:t>
      </w:r>
      <w:r w:rsidR="00C56A49" w:rsidRPr="009D1198">
        <w:rPr>
          <w:rFonts w:ascii="Arial" w:hAnsi="Arial" w:cs="Arial"/>
          <w:sz w:val="24"/>
          <w:szCs w:val="24"/>
        </w:rPr>
        <w:t>and</w:t>
      </w:r>
      <w:r w:rsidR="00C56A49">
        <w:rPr>
          <w:rFonts w:ascii="Arial" w:hAnsi="Arial" w:cs="Arial"/>
          <w:sz w:val="24"/>
          <w:szCs w:val="24"/>
        </w:rPr>
        <w:t xml:space="preserve"> is </w:t>
      </w:r>
      <w:r w:rsidRPr="00215E50">
        <w:rPr>
          <w:rFonts w:ascii="Arial" w:hAnsi="Arial" w:cs="Arial"/>
          <w:sz w:val="24"/>
          <w:szCs w:val="24"/>
        </w:rPr>
        <w:t>higher than the current financial threshold for services</w:t>
      </w:r>
      <w:r w:rsidR="00C41D5C">
        <w:rPr>
          <w:rFonts w:ascii="Arial" w:hAnsi="Arial" w:cs="Arial"/>
          <w:sz w:val="24"/>
          <w:szCs w:val="24"/>
        </w:rPr>
        <w:t xml:space="preserve"> under The Public Contracts Regulations 2015</w:t>
      </w:r>
      <w:r w:rsidRPr="00215E50">
        <w:rPr>
          <w:rFonts w:ascii="Arial" w:hAnsi="Arial" w:cs="Arial"/>
          <w:sz w:val="24"/>
          <w:szCs w:val="24"/>
        </w:rPr>
        <w:t>.</w:t>
      </w:r>
      <w:r w:rsidR="00DD4170" w:rsidRPr="00215E50">
        <w:rPr>
          <w:rFonts w:ascii="Arial" w:hAnsi="Arial" w:cs="Arial"/>
          <w:sz w:val="24"/>
          <w:szCs w:val="24"/>
        </w:rPr>
        <w:t xml:space="preserve">  </w:t>
      </w:r>
      <w:r w:rsidR="00C41D5C">
        <w:rPr>
          <w:rFonts w:ascii="Arial" w:hAnsi="Arial" w:cs="Arial"/>
          <w:sz w:val="24"/>
          <w:szCs w:val="24"/>
        </w:rPr>
        <w:t>The</w:t>
      </w:r>
      <w:r w:rsidRPr="00215E50">
        <w:rPr>
          <w:rFonts w:ascii="Arial" w:hAnsi="Arial" w:cs="Arial"/>
          <w:sz w:val="24"/>
          <w:szCs w:val="24"/>
        </w:rPr>
        <w:t xml:space="preserve"> procurement will therefore be subject to the full application of the Public Contracts Regulations 2015. The award of the contract is also subject to the Council’s own Standing Orders in respect of High Value contracts and Financial Regulations. As a result, Cabinet approval will be required for the award of the contract and a mandatory ten calendar day standstill period will be applicable to the contract award.</w:t>
      </w:r>
      <w:r w:rsidR="00C56A49">
        <w:rPr>
          <w:rFonts w:ascii="Arial" w:hAnsi="Arial" w:cs="Arial"/>
          <w:sz w:val="24"/>
          <w:szCs w:val="24"/>
        </w:rPr>
        <w:t xml:space="preserve">  This report requests approval to d</w:t>
      </w:r>
      <w:r w:rsidR="00C56A49" w:rsidRPr="006B380D">
        <w:rPr>
          <w:rFonts w:ascii="Arial" w:hAnsi="Arial" w:cs="Arial"/>
          <w:sz w:val="24"/>
          <w:szCs w:val="24"/>
        </w:rPr>
        <w:t>elegate authority</w:t>
      </w:r>
      <w:r w:rsidR="00C56A49">
        <w:rPr>
          <w:rFonts w:ascii="Arial" w:hAnsi="Arial" w:cs="Arial"/>
          <w:sz w:val="24"/>
          <w:szCs w:val="24"/>
        </w:rPr>
        <w:t xml:space="preserve"> </w:t>
      </w:r>
      <w:r w:rsidR="00C56A49" w:rsidRPr="006B380D">
        <w:rPr>
          <w:rFonts w:ascii="Arial" w:hAnsi="Arial" w:cs="Arial"/>
          <w:sz w:val="24"/>
          <w:szCs w:val="24"/>
        </w:rPr>
        <w:t>to the Section 151 Officer in consultation with the Portfolio Holder for Finance and Human Resources, to award the new contract to the successful bidder.</w:t>
      </w:r>
    </w:p>
    <w:p w14:paraId="0244505A" w14:textId="13F556A3" w:rsidR="00C56A49" w:rsidRDefault="00C56A49" w:rsidP="00EA4FCA">
      <w:pPr>
        <w:ind w:left="567" w:hanging="567"/>
        <w:rPr>
          <w:rFonts w:ascii="Arial" w:hAnsi="Arial" w:cs="Arial"/>
          <w:sz w:val="24"/>
          <w:szCs w:val="24"/>
        </w:rPr>
      </w:pPr>
      <w:r>
        <w:rPr>
          <w:rFonts w:ascii="Arial" w:hAnsi="Arial" w:cs="Arial"/>
          <w:sz w:val="24"/>
          <w:szCs w:val="24"/>
        </w:rPr>
        <w:tab/>
      </w:r>
      <w:r w:rsidRPr="005A671B">
        <w:rPr>
          <w:rFonts w:ascii="Arial" w:hAnsi="Arial" w:cs="Arial"/>
          <w:sz w:val="24"/>
          <w:szCs w:val="24"/>
        </w:rPr>
        <w:t xml:space="preserve">It is proposed to re-procure third party support for the Revenues and Benefits Service following the </w:t>
      </w:r>
      <w:r w:rsidR="00092654">
        <w:rPr>
          <w:rFonts w:ascii="Arial" w:hAnsi="Arial" w:cs="Arial"/>
          <w:sz w:val="24"/>
          <w:szCs w:val="24"/>
        </w:rPr>
        <w:t xml:space="preserve">Open </w:t>
      </w:r>
      <w:r>
        <w:rPr>
          <w:rFonts w:ascii="Arial" w:hAnsi="Arial" w:cs="Arial"/>
          <w:sz w:val="24"/>
          <w:szCs w:val="24"/>
        </w:rPr>
        <w:t>P</w:t>
      </w:r>
      <w:r w:rsidRPr="005A671B">
        <w:rPr>
          <w:rFonts w:ascii="Arial" w:hAnsi="Arial" w:cs="Arial"/>
          <w:sz w:val="24"/>
          <w:szCs w:val="24"/>
        </w:rPr>
        <w:t xml:space="preserve">rocedure </w:t>
      </w:r>
      <w:r w:rsidR="00092654">
        <w:rPr>
          <w:rFonts w:ascii="Arial" w:hAnsi="Arial" w:cs="Arial"/>
          <w:sz w:val="24"/>
          <w:szCs w:val="24"/>
        </w:rPr>
        <w:t xml:space="preserve">but reserving the option to move to the Competitive Procedure </w:t>
      </w:r>
      <w:r w:rsidRPr="005A671B">
        <w:rPr>
          <w:rFonts w:ascii="Arial" w:hAnsi="Arial" w:cs="Arial"/>
          <w:sz w:val="24"/>
          <w:szCs w:val="24"/>
        </w:rPr>
        <w:t xml:space="preserve">with </w:t>
      </w:r>
      <w:r>
        <w:rPr>
          <w:rFonts w:ascii="Arial" w:hAnsi="Arial" w:cs="Arial"/>
          <w:sz w:val="24"/>
          <w:szCs w:val="24"/>
        </w:rPr>
        <w:t>N</w:t>
      </w:r>
      <w:r w:rsidRPr="005A671B">
        <w:rPr>
          <w:rFonts w:ascii="Arial" w:hAnsi="Arial" w:cs="Arial"/>
          <w:sz w:val="24"/>
          <w:szCs w:val="24"/>
        </w:rPr>
        <w:t>egotiation</w:t>
      </w:r>
      <w:r w:rsidR="00092654">
        <w:rPr>
          <w:rFonts w:ascii="Arial" w:hAnsi="Arial" w:cs="Arial"/>
          <w:sz w:val="24"/>
          <w:szCs w:val="24"/>
        </w:rPr>
        <w:t xml:space="preserve"> in the event that </w:t>
      </w:r>
      <w:r w:rsidR="007C4A96">
        <w:rPr>
          <w:rFonts w:ascii="Arial" w:hAnsi="Arial" w:cs="Arial"/>
          <w:sz w:val="24"/>
          <w:szCs w:val="24"/>
        </w:rPr>
        <w:t>non-compliant</w:t>
      </w:r>
      <w:r w:rsidR="00092654">
        <w:rPr>
          <w:rFonts w:ascii="Arial" w:hAnsi="Arial" w:cs="Arial"/>
          <w:sz w:val="24"/>
          <w:szCs w:val="24"/>
        </w:rPr>
        <w:t xml:space="preserve"> bids should be received.  That approach would permit </w:t>
      </w:r>
      <w:r>
        <w:rPr>
          <w:rFonts w:ascii="Arial" w:hAnsi="Arial" w:cs="Arial"/>
          <w:sz w:val="24"/>
          <w:szCs w:val="24"/>
        </w:rPr>
        <w:t>n</w:t>
      </w:r>
      <w:r w:rsidRPr="005A671B">
        <w:rPr>
          <w:rFonts w:ascii="Arial" w:hAnsi="Arial" w:cs="Arial"/>
          <w:sz w:val="24"/>
          <w:szCs w:val="24"/>
        </w:rPr>
        <w:t>egotiation</w:t>
      </w:r>
      <w:r>
        <w:rPr>
          <w:rFonts w:ascii="Arial" w:hAnsi="Arial" w:cs="Arial"/>
          <w:sz w:val="24"/>
          <w:szCs w:val="24"/>
        </w:rPr>
        <w:t>,</w:t>
      </w:r>
      <w:r w:rsidRPr="005A671B">
        <w:rPr>
          <w:rFonts w:ascii="Arial" w:hAnsi="Arial" w:cs="Arial"/>
          <w:sz w:val="24"/>
          <w:szCs w:val="24"/>
        </w:rPr>
        <w:t xml:space="preserve"> in the event that </w:t>
      </w:r>
      <w:r w:rsidRPr="005A671B">
        <w:rPr>
          <w:rFonts w:ascii="Arial" w:hAnsi="Arial" w:cs="Arial"/>
          <w:sz w:val="24"/>
          <w:szCs w:val="24"/>
        </w:rPr>
        <w:lastRenderedPageBreak/>
        <w:t>the procurement c</w:t>
      </w:r>
      <w:r w:rsidR="00092654">
        <w:rPr>
          <w:rFonts w:ascii="Arial" w:hAnsi="Arial" w:cs="Arial"/>
          <w:sz w:val="24"/>
          <w:szCs w:val="24"/>
        </w:rPr>
        <w:t xml:space="preserve">ould not </w:t>
      </w:r>
      <w:r w:rsidRPr="005A671B">
        <w:rPr>
          <w:rFonts w:ascii="Arial" w:hAnsi="Arial" w:cs="Arial"/>
          <w:sz w:val="24"/>
          <w:szCs w:val="24"/>
        </w:rPr>
        <w:t xml:space="preserve">be effectively concluded </w:t>
      </w:r>
      <w:r w:rsidR="00092654">
        <w:rPr>
          <w:rFonts w:ascii="Arial" w:hAnsi="Arial" w:cs="Arial"/>
          <w:sz w:val="24"/>
          <w:szCs w:val="24"/>
        </w:rPr>
        <w:t xml:space="preserve">from </w:t>
      </w:r>
      <w:r w:rsidRPr="005A671B">
        <w:rPr>
          <w:rFonts w:ascii="Arial" w:hAnsi="Arial" w:cs="Arial"/>
          <w:sz w:val="24"/>
          <w:szCs w:val="24"/>
        </w:rPr>
        <w:t xml:space="preserve">the </w:t>
      </w:r>
      <w:r>
        <w:rPr>
          <w:rFonts w:ascii="Arial" w:hAnsi="Arial" w:cs="Arial"/>
          <w:sz w:val="24"/>
          <w:szCs w:val="24"/>
        </w:rPr>
        <w:t xml:space="preserve">initial </w:t>
      </w:r>
      <w:r w:rsidRPr="005A671B">
        <w:rPr>
          <w:rFonts w:ascii="Arial" w:hAnsi="Arial" w:cs="Arial"/>
          <w:sz w:val="24"/>
          <w:szCs w:val="24"/>
        </w:rPr>
        <w:t>tenders</w:t>
      </w:r>
      <w:r>
        <w:rPr>
          <w:rFonts w:ascii="Arial" w:hAnsi="Arial" w:cs="Arial"/>
          <w:sz w:val="24"/>
          <w:szCs w:val="24"/>
        </w:rPr>
        <w:t xml:space="preserve"> </w:t>
      </w:r>
      <w:r w:rsidRPr="00D33D32">
        <w:rPr>
          <w:rFonts w:ascii="Arial" w:hAnsi="Arial" w:cs="Arial"/>
          <w:sz w:val="24"/>
          <w:szCs w:val="24"/>
        </w:rPr>
        <w:t>submitted</w:t>
      </w:r>
      <w:r w:rsidRPr="005A671B">
        <w:rPr>
          <w:rFonts w:ascii="Arial" w:hAnsi="Arial" w:cs="Arial"/>
          <w:sz w:val="24"/>
          <w:szCs w:val="24"/>
        </w:rPr>
        <w:t xml:space="preserve">. </w:t>
      </w:r>
    </w:p>
    <w:p w14:paraId="11CB3409" w14:textId="2C183B21" w:rsidR="00C56A49" w:rsidRPr="002F77EB" w:rsidRDefault="00C56A49" w:rsidP="00EA4FCA">
      <w:pPr>
        <w:ind w:left="561" w:hanging="561"/>
        <w:rPr>
          <w:rFonts w:ascii="Arial" w:hAnsi="Arial" w:cs="Arial"/>
          <w:sz w:val="24"/>
          <w:szCs w:val="24"/>
        </w:rPr>
      </w:pPr>
      <w:r>
        <w:rPr>
          <w:rFonts w:ascii="Arial" w:hAnsi="Arial" w:cs="Arial"/>
          <w:sz w:val="24"/>
          <w:szCs w:val="24"/>
        </w:rPr>
        <w:tab/>
      </w:r>
      <w:r w:rsidRPr="002F77EB">
        <w:rPr>
          <w:rFonts w:ascii="Arial" w:hAnsi="Arial" w:cs="Arial"/>
          <w:sz w:val="24"/>
          <w:szCs w:val="24"/>
        </w:rPr>
        <w:t>The proposed procurement</w:t>
      </w:r>
      <w:r>
        <w:rPr>
          <w:rFonts w:ascii="Arial" w:hAnsi="Arial" w:cs="Arial"/>
          <w:sz w:val="24"/>
          <w:szCs w:val="24"/>
        </w:rPr>
        <w:t>,</w:t>
      </w:r>
      <w:r w:rsidRPr="002F77EB">
        <w:rPr>
          <w:rFonts w:ascii="Arial" w:hAnsi="Arial" w:cs="Arial"/>
          <w:sz w:val="24"/>
          <w:szCs w:val="24"/>
        </w:rPr>
        <w:t xml:space="preserve"> if agreed, will incorporate the flexibility needed to respond to changing work levels </w:t>
      </w:r>
      <w:r>
        <w:rPr>
          <w:rFonts w:ascii="Arial" w:hAnsi="Arial" w:cs="Arial"/>
          <w:sz w:val="24"/>
          <w:szCs w:val="24"/>
        </w:rPr>
        <w:t xml:space="preserve">over the contract term. Additionally, </w:t>
      </w:r>
      <w:r w:rsidRPr="002F77EB">
        <w:rPr>
          <w:rFonts w:ascii="Arial" w:hAnsi="Arial" w:cs="Arial"/>
          <w:sz w:val="24"/>
          <w:szCs w:val="24"/>
        </w:rPr>
        <w:t>potential value for any increased processing activity has been accounted for within the tender contract value and will be included in the tender notices</w:t>
      </w:r>
      <w:r>
        <w:rPr>
          <w:rFonts w:ascii="Arial" w:hAnsi="Arial" w:cs="Arial"/>
          <w:sz w:val="24"/>
          <w:szCs w:val="24"/>
        </w:rPr>
        <w:t xml:space="preserve"> accordingly</w:t>
      </w:r>
      <w:r w:rsidRPr="002F77EB">
        <w:rPr>
          <w:rFonts w:ascii="Arial" w:hAnsi="Arial" w:cs="Arial"/>
          <w:sz w:val="24"/>
          <w:szCs w:val="24"/>
        </w:rPr>
        <w:t xml:space="preserve">. </w:t>
      </w:r>
    </w:p>
    <w:p w14:paraId="3B97FE9C" w14:textId="77C6FF06" w:rsidR="00C56A49" w:rsidRPr="00464ED9" w:rsidRDefault="00C56A49" w:rsidP="00EA4FCA">
      <w:pPr>
        <w:ind w:left="567" w:hanging="6"/>
        <w:rPr>
          <w:rFonts w:ascii="Arial" w:hAnsi="Arial" w:cs="Arial"/>
          <w:sz w:val="24"/>
          <w:szCs w:val="24"/>
        </w:rPr>
      </w:pPr>
      <w:r w:rsidRPr="005A671B">
        <w:rPr>
          <w:rFonts w:ascii="Arial" w:hAnsi="Arial" w:cs="Arial"/>
          <w:sz w:val="24"/>
          <w:szCs w:val="24"/>
        </w:rPr>
        <w:t xml:space="preserve">The contract will be awarded for a </w:t>
      </w:r>
      <w:r w:rsidR="008176BD" w:rsidRPr="005A671B">
        <w:rPr>
          <w:rFonts w:ascii="Arial" w:hAnsi="Arial" w:cs="Arial"/>
          <w:sz w:val="24"/>
          <w:szCs w:val="24"/>
        </w:rPr>
        <w:t>5-year</w:t>
      </w:r>
      <w:r w:rsidRPr="005A671B">
        <w:rPr>
          <w:rFonts w:ascii="Arial" w:hAnsi="Arial" w:cs="Arial"/>
          <w:sz w:val="24"/>
          <w:szCs w:val="24"/>
        </w:rPr>
        <w:t xml:space="preserve"> term from 1st April 2025, with an option to extend for a further 3 years up to 31st March 203</w:t>
      </w:r>
      <w:r>
        <w:rPr>
          <w:rFonts w:ascii="Arial" w:hAnsi="Arial" w:cs="Arial"/>
          <w:sz w:val="24"/>
          <w:szCs w:val="24"/>
        </w:rPr>
        <w:t>3 followed by a further option to extend for 1 year up to 31</w:t>
      </w:r>
      <w:r w:rsidRPr="00464ED9">
        <w:rPr>
          <w:rFonts w:ascii="Arial" w:hAnsi="Arial" w:cs="Arial"/>
          <w:sz w:val="24"/>
          <w:szCs w:val="24"/>
          <w:vertAlign w:val="superscript"/>
        </w:rPr>
        <w:t>st</w:t>
      </w:r>
      <w:r>
        <w:rPr>
          <w:rFonts w:ascii="Arial" w:hAnsi="Arial" w:cs="Arial"/>
          <w:sz w:val="24"/>
          <w:szCs w:val="24"/>
        </w:rPr>
        <w:t xml:space="preserve"> March 2034</w:t>
      </w:r>
      <w:r w:rsidRPr="005A671B">
        <w:rPr>
          <w:rFonts w:ascii="Arial" w:hAnsi="Arial" w:cs="Arial"/>
          <w:sz w:val="24"/>
          <w:szCs w:val="24"/>
        </w:rPr>
        <w:t>. This contract duration has been chosen to strategically align London Borough of Harrow with London Borough of Hillingdon contracts</w:t>
      </w:r>
      <w:r>
        <w:rPr>
          <w:rFonts w:ascii="Arial" w:hAnsi="Arial" w:cs="Arial"/>
          <w:sz w:val="24"/>
          <w:szCs w:val="24"/>
        </w:rPr>
        <w:t xml:space="preserve">, </w:t>
      </w:r>
      <w:r w:rsidRPr="005A671B">
        <w:rPr>
          <w:rFonts w:ascii="Arial" w:hAnsi="Arial" w:cs="Arial"/>
          <w:sz w:val="24"/>
          <w:szCs w:val="24"/>
        </w:rPr>
        <w:t xml:space="preserve">to allow </w:t>
      </w:r>
      <w:r>
        <w:rPr>
          <w:rFonts w:ascii="Arial" w:hAnsi="Arial" w:cs="Arial"/>
          <w:sz w:val="24"/>
          <w:szCs w:val="24"/>
        </w:rPr>
        <w:t xml:space="preserve">for </w:t>
      </w:r>
      <w:r w:rsidRPr="005A671B">
        <w:rPr>
          <w:rFonts w:ascii="Arial" w:hAnsi="Arial" w:cs="Arial"/>
          <w:sz w:val="24"/>
          <w:szCs w:val="24"/>
        </w:rPr>
        <w:t>the option of a future joint procurement</w:t>
      </w:r>
      <w:r>
        <w:rPr>
          <w:rFonts w:ascii="Arial" w:hAnsi="Arial" w:cs="Arial"/>
          <w:sz w:val="24"/>
          <w:szCs w:val="24"/>
        </w:rPr>
        <w:t>, should both parties wish</w:t>
      </w:r>
      <w:r w:rsidRPr="005A671B">
        <w:rPr>
          <w:rFonts w:ascii="Arial" w:hAnsi="Arial" w:cs="Arial"/>
          <w:sz w:val="24"/>
          <w:szCs w:val="24"/>
        </w:rPr>
        <w:t>.</w:t>
      </w:r>
      <w:r w:rsidRPr="00464ED9">
        <w:rPr>
          <w:rFonts w:ascii="Arial" w:hAnsi="Arial" w:cs="Arial"/>
          <w:sz w:val="24"/>
          <w:szCs w:val="24"/>
        </w:rPr>
        <w:t xml:space="preserve"> </w:t>
      </w:r>
    </w:p>
    <w:p w14:paraId="0AC7FC76" w14:textId="5E3FE4A8" w:rsidR="0057272A" w:rsidRDefault="00C56A49" w:rsidP="00EA4FCA">
      <w:pPr>
        <w:spacing w:after="0"/>
        <w:ind w:firstLine="561"/>
        <w:rPr>
          <w:rFonts w:ascii="Arial" w:hAnsi="Arial" w:cs="Arial"/>
          <w:sz w:val="24"/>
          <w:szCs w:val="24"/>
          <w:u w:val="single"/>
        </w:rPr>
      </w:pPr>
      <w:r w:rsidRPr="002F77EB">
        <w:rPr>
          <w:rFonts w:ascii="Arial" w:hAnsi="Arial" w:cs="Arial"/>
          <w:sz w:val="24"/>
          <w:szCs w:val="24"/>
        </w:rPr>
        <w:t xml:space="preserve">The top-level evaluation </w:t>
      </w:r>
      <w:r>
        <w:rPr>
          <w:rFonts w:ascii="Arial" w:hAnsi="Arial" w:cs="Arial"/>
          <w:sz w:val="24"/>
          <w:szCs w:val="24"/>
        </w:rPr>
        <w:t xml:space="preserve">criteria are proposed as follows: </w:t>
      </w:r>
    </w:p>
    <w:p w14:paraId="1CF6D6D3" w14:textId="77777777" w:rsidR="00E7625C" w:rsidRDefault="00E7625C" w:rsidP="00EA4FCA">
      <w:pPr>
        <w:spacing w:after="0"/>
        <w:ind w:firstLine="561"/>
        <w:rPr>
          <w:rFonts w:ascii="Arial" w:hAnsi="Arial" w:cs="Arial"/>
          <w:sz w:val="24"/>
          <w:szCs w:val="24"/>
          <w:u w:val="single"/>
        </w:rPr>
      </w:pPr>
    </w:p>
    <w:p w14:paraId="5AB393E8" w14:textId="5C64AABC" w:rsidR="00C56A49" w:rsidRPr="0044606D" w:rsidRDefault="00C56A49" w:rsidP="00EA4FCA">
      <w:pPr>
        <w:spacing w:after="0"/>
        <w:ind w:firstLine="561"/>
        <w:rPr>
          <w:rFonts w:ascii="Arial" w:hAnsi="Arial" w:cs="Arial"/>
          <w:sz w:val="24"/>
          <w:szCs w:val="24"/>
          <w:u w:val="single"/>
        </w:rPr>
      </w:pPr>
      <w:r w:rsidRPr="0044606D">
        <w:rPr>
          <w:rFonts w:ascii="Arial" w:hAnsi="Arial" w:cs="Arial"/>
          <w:sz w:val="24"/>
          <w:szCs w:val="24"/>
          <w:u w:val="single"/>
        </w:rPr>
        <w:t>Price 50%</w:t>
      </w:r>
    </w:p>
    <w:p w14:paraId="363E1947" w14:textId="77777777" w:rsidR="00C56A49" w:rsidRPr="002F77EB" w:rsidRDefault="00C56A49" w:rsidP="00EA4FCA">
      <w:pPr>
        <w:spacing w:after="0"/>
        <w:ind w:left="561"/>
        <w:rPr>
          <w:rFonts w:ascii="Arial" w:hAnsi="Arial" w:cs="Arial"/>
          <w:sz w:val="24"/>
          <w:szCs w:val="24"/>
        </w:rPr>
      </w:pPr>
      <w:r w:rsidRPr="002F77EB">
        <w:rPr>
          <w:rFonts w:ascii="Arial" w:hAnsi="Arial" w:cs="Arial"/>
          <w:sz w:val="24"/>
          <w:szCs w:val="24"/>
        </w:rPr>
        <w:t xml:space="preserve">A 50% weighting for price is considered to be appropriate for securing value for money in respect of the proposed procurement. </w:t>
      </w:r>
      <w:r>
        <w:rPr>
          <w:rFonts w:ascii="Arial" w:hAnsi="Arial" w:cs="Arial"/>
          <w:sz w:val="24"/>
          <w:szCs w:val="24"/>
        </w:rPr>
        <w:t>There is a niche market consisting of two known providers for this type of work.</w:t>
      </w:r>
    </w:p>
    <w:p w14:paraId="0623DAE2" w14:textId="77777777" w:rsidR="00B47528" w:rsidRDefault="00B47528" w:rsidP="00EA4FCA">
      <w:pPr>
        <w:spacing w:after="0"/>
        <w:ind w:firstLine="561"/>
        <w:rPr>
          <w:rFonts w:ascii="Arial" w:hAnsi="Arial" w:cs="Arial"/>
          <w:sz w:val="24"/>
          <w:szCs w:val="24"/>
          <w:u w:val="single"/>
        </w:rPr>
      </w:pPr>
    </w:p>
    <w:p w14:paraId="075C8526" w14:textId="2890C501" w:rsidR="00C56A49" w:rsidRPr="0044606D" w:rsidRDefault="00C56A49" w:rsidP="00EA4FCA">
      <w:pPr>
        <w:spacing w:after="0"/>
        <w:ind w:firstLine="561"/>
        <w:rPr>
          <w:rFonts w:ascii="Arial" w:hAnsi="Arial" w:cs="Arial"/>
          <w:sz w:val="24"/>
          <w:szCs w:val="24"/>
          <w:u w:val="single"/>
        </w:rPr>
      </w:pPr>
      <w:r w:rsidRPr="0044606D">
        <w:rPr>
          <w:rFonts w:ascii="Arial" w:hAnsi="Arial" w:cs="Arial"/>
          <w:sz w:val="24"/>
          <w:szCs w:val="24"/>
          <w:u w:val="single"/>
        </w:rPr>
        <w:t>Quality 40%</w:t>
      </w:r>
    </w:p>
    <w:p w14:paraId="036CB9CE" w14:textId="77777777" w:rsidR="00C56A49" w:rsidRPr="002F77EB" w:rsidRDefault="00C56A49" w:rsidP="00EA4FCA">
      <w:pPr>
        <w:spacing w:after="0"/>
        <w:ind w:left="561"/>
        <w:rPr>
          <w:rFonts w:ascii="Arial" w:hAnsi="Arial" w:cs="Arial"/>
          <w:sz w:val="24"/>
          <w:szCs w:val="24"/>
        </w:rPr>
      </w:pPr>
      <w:r w:rsidRPr="0044606D">
        <w:rPr>
          <w:rFonts w:ascii="Arial" w:hAnsi="Arial" w:cs="Arial"/>
          <w:sz w:val="24"/>
          <w:szCs w:val="24"/>
        </w:rPr>
        <w:t>Quality is considered a key criterion for the services in scope and has been allocated 40% of the overall</w:t>
      </w:r>
      <w:r w:rsidRPr="002F77EB">
        <w:rPr>
          <w:rFonts w:ascii="Arial" w:hAnsi="Arial" w:cs="Arial"/>
          <w:sz w:val="24"/>
          <w:szCs w:val="24"/>
        </w:rPr>
        <w:t xml:space="preserve"> score. This is due to the necessity of delivering a customer focused service that underpins the </w:t>
      </w:r>
      <w:r w:rsidRPr="006C083C">
        <w:rPr>
          <w:rFonts w:ascii="Arial" w:hAnsi="Arial" w:cs="Arial"/>
          <w:sz w:val="24"/>
          <w:szCs w:val="24"/>
        </w:rPr>
        <w:t>London Borough of Harrow</w:t>
      </w:r>
      <w:r w:rsidRPr="002F77EB">
        <w:rPr>
          <w:rFonts w:ascii="Arial" w:hAnsi="Arial" w:cs="Arial"/>
          <w:sz w:val="24"/>
          <w:szCs w:val="24"/>
        </w:rPr>
        <w:t xml:space="preserve">’s core values and priorities.  Additionally, service quality levels have a direct influence on performance in terms of cash collection and Benefits subsidy amounts received from Central Government.  </w:t>
      </w:r>
    </w:p>
    <w:p w14:paraId="1B72A159" w14:textId="77777777" w:rsidR="00B47528" w:rsidRDefault="00B47528" w:rsidP="00EA4FCA">
      <w:pPr>
        <w:spacing w:after="0"/>
        <w:ind w:firstLine="561"/>
        <w:rPr>
          <w:rFonts w:ascii="Arial" w:hAnsi="Arial" w:cs="Arial"/>
          <w:sz w:val="24"/>
          <w:szCs w:val="24"/>
          <w:u w:val="single"/>
        </w:rPr>
      </w:pPr>
    </w:p>
    <w:p w14:paraId="5B559891" w14:textId="0E883C01" w:rsidR="0044606D" w:rsidRDefault="00C56A49" w:rsidP="00EA4FCA">
      <w:pPr>
        <w:spacing w:after="0"/>
        <w:ind w:firstLine="561"/>
        <w:rPr>
          <w:rFonts w:ascii="Arial" w:hAnsi="Arial" w:cs="Arial"/>
          <w:sz w:val="24"/>
          <w:szCs w:val="24"/>
          <w:u w:val="single"/>
        </w:rPr>
      </w:pPr>
      <w:r w:rsidRPr="0044606D">
        <w:rPr>
          <w:rFonts w:ascii="Arial" w:hAnsi="Arial" w:cs="Arial"/>
          <w:sz w:val="24"/>
          <w:szCs w:val="24"/>
          <w:u w:val="single"/>
        </w:rPr>
        <w:t>Social Value 10%</w:t>
      </w:r>
    </w:p>
    <w:p w14:paraId="6F684444" w14:textId="50D6CBCF" w:rsidR="00C56A49" w:rsidRPr="002F77EB" w:rsidRDefault="00C56A49" w:rsidP="00EA4FCA">
      <w:pPr>
        <w:spacing w:after="0"/>
        <w:ind w:left="561"/>
        <w:rPr>
          <w:rFonts w:ascii="Arial" w:hAnsi="Arial" w:cs="Arial"/>
          <w:sz w:val="24"/>
          <w:szCs w:val="24"/>
        </w:rPr>
      </w:pPr>
      <w:r w:rsidRPr="002F77EB">
        <w:rPr>
          <w:rFonts w:ascii="Arial" w:hAnsi="Arial" w:cs="Arial"/>
          <w:sz w:val="24"/>
          <w:szCs w:val="24"/>
        </w:rPr>
        <w:t>As required under existing Council policy, 10% of the proposed weighting has been allocated to Social Value.</w:t>
      </w:r>
    </w:p>
    <w:p w14:paraId="70F858AB" w14:textId="77777777" w:rsidR="007C4A96" w:rsidRDefault="007C4A96" w:rsidP="00EA4FCA">
      <w:pPr>
        <w:spacing w:after="0" w:line="240" w:lineRule="auto"/>
        <w:ind w:left="561"/>
        <w:rPr>
          <w:rFonts w:ascii="Arial" w:hAnsi="Arial" w:cs="Arial"/>
          <w:sz w:val="24"/>
          <w:szCs w:val="24"/>
        </w:rPr>
      </w:pPr>
    </w:p>
    <w:p w14:paraId="0E0FC48A" w14:textId="73414BE3" w:rsidR="00C56A49" w:rsidRPr="00CB0CC7" w:rsidRDefault="00E4689B" w:rsidP="00EA4FCA">
      <w:pPr>
        <w:ind w:left="561"/>
        <w:rPr>
          <w:rFonts w:ascii="Arial" w:hAnsi="Arial" w:cs="Arial"/>
          <w:sz w:val="24"/>
          <w:szCs w:val="24"/>
        </w:rPr>
      </w:pPr>
      <w:r>
        <w:rPr>
          <w:rFonts w:ascii="Arial" w:hAnsi="Arial" w:cs="Arial"/>
          <w:sz w:val="24"/>
          <w:szCs w:val="24"/>
        </w:rPr>
        <w:t>T</w:t>
      </w:r>
      <w:r w:rsidR="00C56A49" w:rsidRPr="00CA7602">
        <w:rPr>
          <w:rFonts w:ascii="Arial" w:hAnsi="Arial" w:cs="Arial"/>
          <w:sz w:val="24"/>
          <w:szCs w:val="24"/>
        </w:rPr>
        <w:t>he proposed specification documents</w:t>
      </w:r>
      <w:r>
        <w:rPr>
          <w:rFonts w:ascii="Arial" w:hAnsi="Arial" w:cs="Arial"/>
          <w:sz w:val="24"/>
          <w:szCs w:val="24"/>
        </w:rPr>
        <w:t xml:space="preserve"> are included as exempt background paper</w:t>
      </w:r>
      <w:r w:rsidR="007C4A96">
        <w:rPr>
          <w:rFonts w:ascii="Arial" w:hAnsi="Arial" w:cs="Arial"/>
          <w:sz w:val="24"/>
          <w:szCs w:val="24"/>
        </w:rPr>
        <w:t>s</w:t>
      </w:r>
      <w:r w:rsidR="00C56A49" w:rsidRPr="00CA7602">
        <w:rPr>
          <w:rFonts w:ascii="Arial" w:hAnsi="Arial" w:cs="Arial"/>
          <w:sz w:val="24"/>
          <w:szCs w:val="24"/>
        </w:rPr>
        <w:t xml:space="preserve"> and Appendix </w:t>
      </w:r>
      <w:r>
        <w:rPr>
          <w:rFonts w:ascii="Arial" w:hAnsi="Arial" w:cs="Arial"/>
          <w:sz w:val="24"/>
          <w:szCs w:val="24"/>
        </w:rPr>
        <w:t>1 (exempt)</w:t>
      </w:r>
      <w:r w:rsidR="00C56A49" w:rsidRPr="00CA7602">
        <w:rPr>
          <w:rFonts w:ascii="Arial" w:hAnsi="Arial" w:cs="Arial"/>
          <w:sz w:val="24"/>
          <w:szCs w:val="24"/>
        </w:rPr>
        <w:t xml:space="preserve"> comprises the proposed evaluation weightings and criteria and sub criterion weightings for tender evaluation purposes. This report also requests to delegate authority to the Section 151 Officer following consultation with the Portfolio Holder for Finance and Human Resources, to make any necessary changes to the </w:t>
      </w:r>
      <w:r>
        <w:rPr>
          <w:rFonts w:ascii="Arial" w:hAnsi="Arial" w:cs="Arial"/>
          <w:sz w:val="24"/>
          <w:szCs w:val="24"/>
        </w:rPr>
        <w:t>tender</w:t>
      </w:r>
      <w:r w:rsidR="00D86C19">
        <w:rPr>
          <w:rFonts w:ascii="Arial" w:hAnsi="Arial" w:cs="Arial"/>
          <w:sz w:val="24"/>
          <w:szCs w:val="24"/>
        </w:rPr>
        <w:t xml:space="preserve"> </w:t>
      </w:r>
      <w:r w:rsidR="00C56A49" w:rsidRPr="00CA7602">
        <w:rPr>
          <w:rFonts w:ascii="Arial" w:hAnsi="Arial" w:cs="Arial"/>
          <w:sz w:val="24"/>
          <w:szCs w:val="24"/>
        </w:rPr>
        <w:t>documents following approval.</w:t>
      </w:r>
    </w:p>
    <w:p w14:paraId="3356D3D1" w14:textId="4941BFF7" w:rsidR="005D115D" w:rsidRDefault="005D115D" w:rsidP="00EA4FCA">
      <w:pPr>
        <w:tabs>
          <w:tab w:val="left" w:pos="567"/>
        </w:tabs>
        <w:spacing w:after="0"/>
        <w:rPr>
          <w:rFonts w:ascii="Arial" w:hAnsi="Arial" w:cs="Arial"/>
          <w:sz w:val="24"/>
          <w:szCs w:val="24"/>
        </w:rPr>
      </w:pPr>
    </w:p>
    <w:p w14:paraId="06A27F0A" w14:textId="7D3F5B21" w:rsidR="00F01AEE" w:rsidRPr="00E3014A" w:rsidRDefault="00F01AEE" w:rsidP="00EA4FCA">
      <w:pPr>
        <w:tabs>
          <w:tab w:val="left" w:pos="567"/>
        </w:tabs>
        <w:spacing w:after="0"/>
        <w:outlineLvl w:val="1"/>
        <w:rPr>
          <w:rFonts w:ascii="Arial" w:hAnsi="Arial" w:cs="Arial"/>
          <w:sz w:val="28"/>
          <w:szCs w:val="28"/>
        </w:rPr>
      </w:pPr>
      <w:r>
        <w:rPr>
          <w:rFonts w:ascii="Arial" w:hAnsi="Arial" w:cs="Arial"/>
          <w:b/>
          <w:bCs/>
          <w:sz w:val="28"/>
          <w:szCs w:val="28"/>
        </w:rPr>
        <w:t>5.0</w:t>
      </w:r>
      <w:r>
        <w:rPr>
          <w:rFonts w:ascii="Arial" w:hAnsi="Arial" w:cs="Arial"/>
          <w:b/>
          <w:bCs/>
          <w:sz w:val="28"/>
          <w:szCs w:val="28"/>
        </w:rPr>
        <w:tab/>
      </w:r>
      <w:r w:rsidRPr="00E3014A">
        <w:rPr>
          <w:rFonts w:ascii="Arial" w:hAnsi="Arial" w:cs="Arial"/>
          <w:b/>
          <w:bCs/>
          <w:sz w:val="28"/>
          <w:szCs w:val="28"/>
        </w:rPr>
        <w:t>Financial Implications</w:t>
      </w:r>
    </w:p>
    <w:p w14:paraId="22F05DAE" w14:textId="27DE5D07" w:rsidR="00F01AEE" w:rsidRDefault="00C56A49" w:rsidP="00EA4FCA">
      <w:pPr>
        <w:ind w:left="567" w:hanging="567"/>
        <w:rPr>
          <w:rFonts w:ascii="Arial" w:hAnsi="Arial" w:cs="Arial"/>
          <w:sz w:val="24"/>
          <w:szCs w:val="24"/>
        </w:rPr>
      </w:pPr>
      <w:r>
        <w:rPr>
          <w:rFonts w:ascii="Arial" w:hAnsi="Arial" w:cs="Arial"/>
          <w:sz w:val="24"/>
          <w:szCs w:val="24"/>
        </w:rPr>
        <w:tab/>
      </w:r>
      <w:r w:rsidR="00F01AEE" w:rsidRPr="00B50E31">
        <w:rPr>
          <w:rFonts w:ascii="Arial" w:hAnsi="Arial" w:cs="Arial"/>
          <w:sz w:val="24"/>
          <w:szCs w:val="24"/>
        </w:rPr>
        <w:t xml:space="preserve">As the contracted services have not been subject to a recent competitive procurement, there is a risk that tenders received, may be higher than the existing budgetary provision available.  </w:t>
      </w:r>
    </w:p>
    <w:p w14:paraId="2B3A7217" w14:textId="63F31DE6" w:rsidR="009E61D6" w:rsidRDefault="00CA7602" w:rsidP="00EA4FCA">
      <w:pPr>
        <w:ind w:left="567" w:hanging="567"/>
        <w:rPr>
          <w:rFonts w:ascii="Arial" w:hAnsi="Arial" w:cs="Arial"/>
          <w:sz w:val="24"/>
          <w:szCs w:val="24"/>
        </w:rPr>
      </w:pPr>
      <w:r>
        <w:rPr>
          <w:rFonts w:ascii="Arial" w:hAnsi="Arial" w:cs="Arial"/>
          <w:sz w:val="24"/>
          <w:szCs w:val="24"/>
        </w:rPr>
        <w:lastRenderedPageBreak/>
        <w:tab/>
        <w:t>The cont</w:t>
      </w:r>
      <w:r w:rsidR="001F58C5">
        <w:rPr>
          <w:rFonts w:ascii="Arial" w:hAnsi="Arial" w:cs="Arial"/>
          <w:sz w:val="24"/>
          <w:szCs w:val="24"/>
        </w:rPr>
        <w:t>r</w:t>
      </w:r>
      <w:r>
        <w:rPr>
          <w:rFonts w:ascii="Arial" w:hAnsi="Arial" w:cs="Arial"/>
          <w:sz w:val="24"/>
          <w:szCs w:val="24"/>
        </w:rPr>
        <w:t xml:space="preserve">act value for this procurement is anticipated to be £9.2m over the </w:t>
      </w:r>
      <w:r w:rsidR="001F58C5">
        <w:rPr>
          <w:rFonts w:ascii="Arial" w:hAnsi="Arial" w:cs="Arial"/>
          <w:sz w:val="24"/>
          <w:szCs w:val="24"/>
        </w:rPr>
        <w:t xml:space="preserve">full </w:t>
      </w:r>
      <w:r>
        <w:rPr>
          <w:rFonts w:ascii="Arial" w:hAnsi="Arial" w:cs="Arial"/>
          <w:sz w:val="24"/>
          <w:szCs w:val="24"/>
        </w:rPr>
        <w:t xml:space="preserve">contract term </w:t>
      </w:r>
      <w:r w:rsidR="001F58C5">
        <w:rPr>
          <w:rFonts w:ascii="Arial" w:hAnsi="Arial" w:cs="Arial"/>
          <w:sz w:val="24"/>
          <w:szCs w:val="24"/>
        </w:rPr>
        <w:t xml:space="preserve">potentially available under the proposed procurement (i.e. </w:t>
      </w:r>
      <w:r w:rsidR="00E7625C">
        <w:rPr>
          <w:rFonts w:ascii="Arial" w:hAnsi="Arial" w:cs="Arial"/>
          <w:sz w:val="24"/>
          <w:szCs w:val="24"/>
        </w:rPr>
        <w:t>9</w:t>
      </w:r>
      <w:r w:rsidR="001F58C5">
        <w:rPr>
          <w:rFonts w:ascii="Arial" w:hAnsi="Arial" w:cs="Arial"/>
          <w:sz w:val="24"/>
          <w:szCs w:val="24"/>
        </w:rPr>
        <w:t xml:space="preserve"> years)</w:t>
      </w:r>
      <w:r w:rsidR="00A02718">
        <w:rPr>
          <w:rFonts w:ascii="Arial" w:hAnsi="Arial" w:cs="Arial"/>
          <w:sz w:val="24"/>
          <w:szCs w:val="24"/>
        </w:rPr>
        <w:t>. This includes</w:t>
      </w:r>
      <w:r w:rsidR="0061394F">
        <w:rPr>
          <w:rFonts w:ascii="Arial" w:hAnsi="Arial" w:cs="Arial"/>
          <w:sz w:val="24"/>
          <w:szCs w:val="24"/>
        </w:rPr>
        <w:t xml:space="preserve"> </w:t>
      </w:r>
      <w:r w:rsidR="00287E34">
        <w:rPr>
          <w:rFonts w:ascii="Arial" w:hAnsi="Arial" w:cs="Arial"/>
          <w:sz w:val="24"/>
          <w:szCs w:val="24"/>
        </w:rPr>
        <w:t xml:space="preserve">£2.25m (or </w:t>
      </w:r>
      <w:r w:rsidR="0061394F">
        <w:rPr>
          <w:rFonts w:ascii="Arial" w:hAnsi="Arial" w:cs="Arial"/>
          <w:sz w:val="24"/>
          <w:szCs w:val="24"/>
        </w:rPr>
        <w:t>£250k</w:t>
      </w:r>
      <w:r w:rsidR="008037DA">
        <w:rPr>
          <w:rFonts w:ascii="Arial" w:hAnsi="Arial" w:cs="Arial"/>
          <w:sz w:val="24"/>
          <w:szCs w:val="24"/>
        </w:rPr>
        <w:t xml:space="preserve"> per annum</w:t>
      </w:r>
      <w:r w:rsidR="00287E34">
        <w:rPr>
          <w:rFonts w:ascii="Arial" w:hAnsi="Arial" w:cs="Arial"/>
          <w:sz w:val="24"/>
          <w:szCs w:val="24"/>
        </w:rPr>
        <w:t>)</w:t>
      </w:r>
      <w:r w:rsidR="008037DA">
        <w:rPr>
          <w:rFonts w:ascii="Arial" w:hAnsi="Arial" w:cs="Arial"/>
          <w:sz w:val="24"/>
          <w:szCs w:val="24"/>
        </w:rPr>
        <w:t xml:space="preserve"> for</w:t>
      </w:r>
      <w:r w:rsidR="0061394F">
        <w:rPr>
          <w:rFonts w:ascii="Arial" w:hAnsi="Arial" w:cs="Arial"/>
          <w:sz w:val="24"/>
          <w:szCs w:val="24"/>
        </w:rPr>
        <w:t xml:space="preserve"> extra headroom to cater for additional work deriving from DWP initiatives such as</w:t>
      </w:r>
      <w:r w:rsidR="009E61D6">
        <w:rPr>
          <w:rFonts w:ascii="Arial" w:hAnsi="Arial" w:cs="Arial"/>
          <w:sz w:val="24"/>
          <w:szCs w:val="24"/>
        </w:rPr>
        <w:t xml:space="preserve"> VEP (</w:t>
      </w:r>
      <w:r w:rsidR="009E61D6" w:rsidRPr="009E61D6">
        <w:rPr>
          <w:rFonts w:ascii="Arial" w:hAnsi="Arial" w:cs="Arial"/>
          <w:sz w:val="24"/>
          <w:szCs w:val="24"/>
        </w:rPr>
        <w:t>Verification of Earnings and Pension (“VEP”) activities</w:t>
      </w:r>
      <w:r w:rsidR="009E61D6">
        <w:rPr>
          <w:rFonts w:ascii="Arial" w:hAnsi="Arial" w:cs="Arial"/>
          <w:sz w:val="24"/>
          <w:szCs w:val="24"/>
        </w:rPr>
        <w:t xml:space="preserve">) and </w:t>
      </w:r>
      <w:r w:rsidR="00AA4CA9">
        <w:rPr>
          <w:rFonts w:ascii="Arial" w:hAnsi="Arial" w:cs="Arial"/>
          <w:sz w:val="24"/>
          <w:szCs w:val="24"/>
        </w:rPr>
        <w:t>HBAA (</w:t>
      </w:r>
      <w:r w:rsidR="00AA4CA9" w:rsidRPr="00AA4CA9">
        <w:rPr>
          <w:rFonts w:ascii="Arial" w:hAnsi="Arial" w:cs="Arial"/>
          <w:sz w:val="24"/>
          <w:szCs w:val="24"/>
        </w:rPr>
        <w:t>Housing Benefit Award Accuracy Initiative</w:t>
      </w:r>
      <w:r w:rsidR="00AA4CA9">
        <w:rPr>
          <w:rFonts w:ascii="Arial" w:hAnsi="Arial" w:cs="Arial"/>
          <w:sz w:val="24"/>
          <w:szCs w:val="24"/>
        </w:rPr>
        <w:t>)</w:t>
      </w:r>
      <w:r w:rsidR="008037DA">
        <w:rPr>
          <w:rFonts w:ascii="Arial" w:hAnsi="Arial" w:cs="Arial"/>
          <w:sz w:val="24"/>
          <w:szCs w:val="24"/>
        </w:rPr>
        <w:t>.</w:t>
      </w:r>
    </w:p>
    <w:p w14:paraId="00C69BD2" w14:textId="4F73B2BC" w:rsidR="00F01AEE" w:rsidRPr="00A042FA" w:rsidRDefault="00F01AEE" w:rsidP="00EA4FCA">
      <w:pPr>
        <w:pStyle w:val="Heading2"/>
        <w:tabs>
          <w:tab w:val="left" w:pos="567"/>
        </w:tabs>
        <w:rPr>
          <w:rFonts w:ascii="Arial" w:hAnsi="Arial"/>
          <w:b w:val="0"/>
          <w:bCs w:val="0"/>
          <w:sz w:val="28"/>
          <w:szCs w:val="28"/>
        </w:rPr>
      </w:pPr>
      <w:r>
        <w:rPr>
          <w:rFonts w:ascii="Arial" w:hAnsi="Arial"/>
          <w:sz w:val="28"/>
          <w:szCs w:val="28"/>
        </w:rPr>
        <w:t>6.0</w:t>
      </w:r>
      <w:r>
        <w:rPr>
          <w:rFonts w:ascii="Arial" w:hAnsi="Arial"/>
          <w:sz w:val="28"/>
          <w:szCs w:val="28"/>
        </w:rPr>
        <w:tab/>
      </w:r>
      <w:r w:rsidRPr="00A042FA">
        <w:rPr>
          <w:rFonts w:ascii="Arial" w:hAnsi="Arial"/>
          <w:sz w:val="28"/>
          <w:szCs w:val="28"/>
        </w:rPr>
        <w:t>Performance Issues</w:t>
      </w:r>
    </w:p>
    <w:p w14:paraId="5E546EC6" w14:textId="5A4EA580" w:rsidR="00F01AEE" w:rsidRPr="00D66A92" w:rsidRDefault="00C56A49" w:rsidP="00EA4FCA">
      <w:pPr>
        <w:ind w:left="561" w:hanging="561"/>
        <w:rPr>
          <w:rFonts w:ascii="Arial" w:hAnsi="Arial" w:cs="Arial"/>
          <w:sz w:val="24"/>
          <w:szCs w:val="24"/>
        </w:rPr>
      </w:pPr>
      <w:r>
        <w:rPr>
          <w:rFonts w:ascii="Arial" w:hAnsi="Arial" w:cs="Arial"/>
          <w:sz w:val="24"/>
          <w:szCs w:val="24"/>
        </w:rPr>
        <w:tab/>
      </w:r>
      <w:r w:rsidR="00F01AEE" w:rsidRPr="00D66A92">
        <w:rPr>
          <w:rFonts w:ascii="Arial" w:hAnsi="Arial" w:cs="Arial"/>
          <w:sz w:val="24"/>
          <w:szCs w:val="24"/>
        </w:rPr>
        <w:t xml:space="preserve">This report seeks authority to procure third party processing support for Revenues and Benefits services that will influence Revenues collection and Benefits administration functions.   Procurement and performance of the services concerned, will therefore have an influence on cash collection rates achieved for Business Rates, Council Tax and Housing Benefit Overpayments, as well as </w:t>
      </w:r>
      <w:r w:rsidR="00F01AEE">
        <w:rPr>
          <w:rFonts w:ascii="Arial" w:hAnsi="Arial" w:cs="Arial"/>
          <w:sz w:val="24"/>
          <w:szCs w:val="24"/>
        </w:rPr>
        <w:t xml:space="preserve">Benefit </w:t>
      </w:r>
      <w:r w:rsidR="00F01AEE" w:rsidRPr="00D66A92">
        <w:rPr>
          <w:rFonts w:ascii="Arial" w:hAnsi="Arial" w:cs="Arial"/>
          <w:sz w:val="24"/>
          <w:szCs w:val="24"/>
        </w:rPr>
        <w:t xml:space="preserve">awards </w:t>
      </w:r>
      <w:r w:rsidR="00F01AEE">
        <w:rPr>
          <w:rFonts w:ascii="Arial" w:hAnsi="Arial" w:cs="Arial"/>
          <w:sz w:val="24"/>
          <w:szCs w:val="24"/>
        </w:rPr>
        <w:t xml:space="preserve">determined, </w:t>
      </w:r>
      <w:r w:rsidR="00F01AEE" w:rsidRPr="00D66A92">
        <w:rPr>
          <w:rFonts w:ascii="Arial" w:hAnsi="Arial" w:cs="Arial"/>
          <w:sz w:val="24"/>
          <w:szCs w:val="24"/>
        </w:rPr>
        <w:t xml:space="preserve">and average processing times experienced in relation to Housing Benefit and Council tax Support.  These are key indicators monitored locally and published nationally each year.  </w:t>
      </w:r>
    </w:p>
    <w:p w14:paraId="682A9791" w14:textId="2A3F7A5A" w:rsidR="00F01AEE" w:rsidRPr="002A7165" w:rsidRDefault="00F01AEE" w:rsidP="00EA4FCA">
      <w:pPr>
        <w:ind w:left="561"/>
        <w:rPr>
          <w:rFonts w:ascii="Arial" w:hAnsi="Arial" w:cs="Arial"/>
          <w:sz w:val="24"/>
          <w:szCs w:val="24"/>
        </w:rPr>
      </w:pPr>
      <w:r w:rsidRPr="002A7165">
        <w:rPr>
          <w:rFonts w:ascii="Arial" w:hAnsi="Arial" w:cs="Arial"/>
          <w:sz w:val="24"/>
          <w:szCs w:val="24"/>
        </w:rPr>
        <w:t xml:space="preserve">Not procuring a supplier to deliver the services concerned, would adversely impact upon Harrow’s in-year collection rates, cash flow management arrangements, Benefit processing timescales and potentially, its reputation with stakeholders.  It may also have the effect of restricting / preventing compliance with statutory obligations concerning the prompt issue of bills and benefit determination notices.  </w:t>
      </w:r>
    </w:p>
    <w:p w14:paraId="450581B9" w14:textId="399CFFE0" w:rsidR="00F01AEE" w:rsidRPr="0044606D" w:rsidRDefault="00F01AEE" w:rsidP="00EA4FCA">
      <w:pPr>
        <w:spacing w:after="0"/>
        <w:ind w:left="561"/>
        <w:rPr>
          <w:rFonts w:ascii="Arial" w:hAnsi="Arial" w:cs="Arial"/>
          <w:sz w:val="24"/>
          <w:szCs w:val="24"/>
          <w:u w:val="single"/>
        </w:rPr>
      </w:pPr>
      <w:r w:rsidRPr="0044606D">
        <w:rPr>
          <w:rFonts w:ascii="Arial" w:hAnsi="Arial" w:cs="Arial"/>
          <w:sz w:val="24"/>
          <w:szCs w:val="24"/>
          <w:u w:val="single"/>
        </w:rPr>
        <w:t xml:space="preserve">Resources, costs </w:t>
      </w:r>
    </w:p>
    <w:p w14:paraId="7F4E6D32" w14:textId="77777777" w:rsidR="00F01AEE" w:rsidRPr="00D66A92" w:rsidRDefault="00F01AEE" w:rsidP="00EA4FCA">
      <w:pPr>
        <w:ind w:left="561"/>
        <w:rPr>
          <w:rFonts w:ascii="Arial" w:hAnsi="Arial" w:cs="Arial"/>
          <w:sz w:val="24"/>
          <w:szCs w:val="24"/>
        </w:rPr>
      </w:pPr>
      <w:r w:rsidRPr="00D66A92">
        <w:rPr>
          <w:rFonts w:ascii="Arial" w:hAnsi="Arial" w:cs="Arial"/>
          <w:sz w:val="24"/>
          <w:szCs w:val="24"/>
        </w:rPr>
        <w:t xml:space="preserve">The cost of resourcing the project will be managed within existing service </w:t>
      </w:r>
      <w:r w:rsidRPr="00627F87">
        <w:rPr>
          <w:rFonts w:ascii="Arial" w:hAnsi="Arial" w:cs="Arial"/>
          <w:sz w:val="24"/>
          <w:szCs w:val="24"/>
        </w:rPr>
        <w:t>budgets. The project is likely to cost approximately £20,000 taking existing staff costs / time into account.</w:t>
      </w:r>
    </w:p>
    <w:p w14:paraId="7EC012F1" w14:textId="77777777" w:rsidR="00F01AEE" w:rsidRPr="0044606D" w:rsidRDefault="00F01AEE" w:rsidP="00EA4FCA">
      <w:pPr>
        <w:spacing w:after="0"/>
        <w:ind w:firstLine="561"/>
        <w:rPr>
          <w:rFonts w:ascii="Arial" w:hAnsi="Arial" w:cs="Arial"/>
          <w:sz w:val="24"/>
          <w:szCs w:val="24"/>
          <w:u w:val="single"/>
        </w:rPr>
      </w:pPr>
      <w:r w:rsidRPr="0044606D">
        <w:rPr>
          <w:rFonts w:ascii="Arial" w:hAnsi="Arial" w:cs="Arial"/>
          <w:sz w:val="24"/>
          <w:szCs w:val="24"/>
          <w:u w:val="single"/>
        </w:rPr>
        <w:t>Staffing / Workforce</w:t>
      </w:r>
    </w:p>
    <w:p w14:paraId="29A3AA74" w14:textId="77777777" w:rsidR="00F01AEE" w:rsidRPr="00D66A92" w:rsidRDefault="00F01AEE" w:rsidP="00EA4FCA">
      <w:pPr>
        <w:ind w:left="561"/>
        <w:rPr>
          <w:rFonts w:ascii="Arial" w:hAnsi="Arial" w:cs="Arial"/>
          <w:sz w:val="24"/>
          <w:szCs w:val="24"/>
        </w:rPr>
      </w:pPr>
      <w:r w:rsidRPr="00D66A92">
        <w:rPr>
          <w:rFonts w:ascii="Arial" w:hAnsi="Arial" w:cs="Arial"/>
          <w:sz w:val="24"/>
          <w:szCs w:val="24"/>
        </w:rPr>
        <w:t xml:space="preserve">There are no currently anticipated implications upon Harrow staffing or its workforce arising from the recommendations proposed within this report.  </w:t>
      </w:r>
    </w:p>
    <w:p w14:paraId="06CEE435" w14:textId="77777777" w:rsidR="00F01AEE" w:rsidRPr="00D66A92" w:rsidRDefault="00F01AEE" w:rsidP="00EA4FCA">
      <w:pPr>
        <w:ind w:left="561"/>
        <w:rPr>
          <w:rFonts w:ascii="Arial" w:hAnsi="Arial" w:cs="Arial"/>
          <w:sz w:val="24"/>
          <w:szCs w:val="24"/>
        </w:rPr>
      </w:pPr>
      <w:r w:rsidRPr="00D66A92">
        <w:rPr>
          <w:rFonts w:ascii="Arial" w:hAnsi="Arial" w:cs="Arial"/>
          <w:sz w:val="24"/>
          <w:szCs w:val="24"/>
        </w:rPr>
        <w:t xml:space="preserve">A project team to be comprised of subject matter experts will be established for the purposes of the procurement if the recommendations within this report are agreed. </w:t>
      </w:r>
    </w:p>
    <w:p w14:paraId="4A158458" w14:textId="77777777" w:rsidR="00F01AEE" w:rsidRDefault="00F01AEE" w:rsidP="00EA4FCA">
      <w:pPr>
        <w:ind w:left="561"/>
        <w:rPr>
          <w:rFonts w:ascii="Arial" w:hAnsi="Arial" w:cs="Arial"/>
          <w:sz w:val="24"/>
          <w:szCs w:val="24"/>
        </w:rPr>
      </w:pPr>
      <w:r w:rsidRPr="00D66A92">
        <w:rPr>
          <w:rFonts w:ascii="Arial" w:hAnsi="Arial" w:cs="Arial"/>
          <w:sz w:val="24"/>
          <w:szCs w:val="24"/>
        </w:rPr>
        <w:t xml:space="preserve">It is anticipated that TUPE (The Transfer of Undertakings (Protection of Employment) Regulations 2006) will apply to the recommendations proposed within this report, as a matter of law. </w:t>
      </w:r>
    </w:p>
    <w:p w14:paraId="3F71AC4B" w14:textId="6685994F" w:rsidR="00E86B05" w:rsidRPr="00E3014A" w:rsidRDefault="00F01AEE" w:rsidP="00EA4FCA">
      <w:pPr>
        <w:tabs>
          <w:tab w:val="left" w:pos="567"/>
        </w:tabs>
        <w:spacing w:after="0"/>
        <w:rPr>
          <w:rFonts w:ascii="Arial" w:hAnsi="Arial" w:cs="Arial"/>
          <w:b/>
          <w:sz w:val="28"/>
          <w:szCs w:val="28"/>
        </w:rPr>
      </w:pPr>
      <w:r>
        <w:rPr>
          <w:rFonts w:ascii="Arial" w:hAnsi="Arial" w:cs="Arial"/>
          <w:b/>
          <w:sz w:val="28"/>
          <w:szCs w:val="28"/>
        </w:rPr>
        <w:t>7.0</w:t>
      </w:r>
      <w:r w:rsidR="00C56A49">
        <w:rPr>
          <w:rFonts w:ascii="Arial" w:hAnsi="Arial" w:cs="Arial"/>
          <w:b/>
          <w:sz w:val="28"/>
          <w:szCs w:val="28"/>
        </w:rPr>
        <w:tab/>
      </w:r>
      <w:r w:rsidR="00E86B05" w:rsidRPr="00E3014A">
        <w:rPr>
          <w:rFonts w:ascii="Arial" w:hAnsi="Arial" w:cs="Arial"/>
          <w:b/>
          <w:sz w:val="28"/>
          <w:szCs w:val="28"/>
        </w:rPr>
        <w:t>Risk Management Implications</w:t>
      </w:r>
    </w:p>
    <w:p w14:paraId="06EB865A" w14:textId="79E1AD88" w:rsidR="00E86B05" w:rsidRPr="00CB0CC7" w:rsidRDefault="00E86B05" w:rsidP="00EA4FCA">
      <w:pPr>
        <w:tabs>
          <w:tab w:val="left" w:pos="567"/>
        </w:tabs>
        <w:ind w:left="567"/>
        <w:rPr>
          <w:rFonts w:ascii="Arial" w:hAnsi="Arial" w:cs="Arial"/>
          <w:sz w:val="24"/>
          <w:szCs w:val="24"/>
          <w:lang w:eastAsia="en-GB"/>
        </w:rPr>
      </w:pPr>
      <w:r w:rsidRPr="00CB0CC7">
        <w:rPr>
          <w:rFonts w:ascii="Arial" w:hAnsi="Arial" w:cs="Arial"/>
          <w:sz w:val="24"/>
          <w:szCs w:val="24"/>
          <w:lang w:eastAsia="en-GB"/>
        </w:rPr>
        <w:t xml:space="preserve">Risks included on corporate or directorate risk register? </w:t>
      </w:r>
      <w:r w:rsidR="00CB0CC7" w:rsidRPr="00E3014A">
        <w:rPr>
          <w:rFonts w:ascii="Arial" w:hAnsi="Arial" w:cs="Arial"/>
          <w:sz w:val="24"/>
          <w:szCs w:val="24"/>
          <w:lang w:eastAsia="en-GB"/>
        </w:rPr>
        <w:t>Yes</w:t>
      </w:r>
    </w:p>
    <w:p w14:paraId="2D66E742" w14:textId="7793DFAE" w:rsidR="00CB0CC7" w:rsidRPr="00CB0CC7" w:rsidRDefault="00E86B05" w:rsidP="00EA4FCA">
      <w:pPr>
        <w:tabs>
          <w:tab w:val="left" w:pos="567"/>
        </w:tabs>
        <w:ind w:left="567"/>
        <w:rPr>
          <w:rFonts w:ascii="Arial" w:hAnsi="Arial" w:cs="Arial"/>
          <w:sz w:val="24"/>
          <w:szCs w:val="24"/>
          <w:lang w:val="en-US" w:eastAsia="en-GB"/>
        </w:rPr>
      </w:pPr>
      <w:r w:rsidRPr="00CB0CC7">
        <w:rPr>
          <w:rFonts w:ascii="Arial" w:hAnsi="Arial" w:cs="Arial"/>
          <w:sz w:val="24"/>
          <w:szCs w:val="24"/>
          <w:lang w:eastAsia="en-GB"/>
        </w:rPr>
        <w:t xml:space="preserve">Separate risk register in place? </w:t>
      </w:r>
      <w:r w:rsidR="00E3014A">
        <w:rPr>
          <w:rFonts w:ascii="Arial" w:hAnsi="Arial" w:cs="Arial"/>
          <w:sz w:val="24"/>
          <w:szCs w:val="24"/>
          <w:lang w:eastAsia="en-GB"/>
        </w:rPr>
        <w:t>No</w:t>
      </w:r>
    </w:p>
    <w:p w14:paraId="7D6ADC71" w14:textId="10034E29" w:rsidR="00CB0CC7" w:rsidRPr="00CB0CC7" w:rsidRDefault="00CB0CC7" w:rsidP="00EA4FCA">
      <w:pPr>
        <w:tabs>
          <w:tab w:val="left" w:pos="567"/>
        </w:tabs>
        <w:ind w:left="567"/>
        <w:rPr>
          <w:rFonts w:ascii="Arial" w:hAnsi="Arial" w:cs="Arial"/>
          <w:sz w:val="24"/>
          <w:szCs w:val="24"/>
          <w:lang w:val="en-US" w:eastAsia="en-GB"/>
        </w:rPr>
      </w:pPr>
      <w:r w:rsidRPr="00CB0CC7">
        <w:rPr>
          <w:rFonts w:ascii="Arial" w:hAnsi="Arial" w:cs="Arial"/>
          <w:sz w:val="24"/>
          <w:szCs w:val="24"/>
          <w:lang w:val="en-US" w:eastAsia="en-GB"/>
        </w:rPr>
        <w:t xml:space="preserve">A separate risk register will be established and maintained in relation to the procurement project subject to approval of the report recommendations. </w:t>
      </w:r>
    </w:p>
    <w:p w14:paraId="161FC953" w14:textId="5E28925D" w:rsidR="00E86B05" w:rsidRDefault="00E86B05" w:rsidP="00EA4FCA">
      <w:pPr>
        <w:tabs>
          <w:tab w:val="left" w:pos="567"/>
        </w:tabs>
        <w:ind w:left="567"/>
        <w:rPr>
          <w:rFonts w:ascii="Arial" w:hAnsi="Arial" w:cs="Arial"/>
          <w:sz w:val="24"/>
          <w:szCs w:val="24"/>
          <w:lang w:eastAsia="en-GB"/>
        </w:rPr>
      </w:pPr>
      <w:r w:rsidRPr="00E86B05">
        <w:rPr>
          <w:rFonts w:ascii="Arial" w:hAnsi="Arial" w:cs="Arial"/>
          <w:sz w:val="24"/>
          <w:szCs w:val="24"/>
          <w:lang w:eastAsia="en-GB"/>
        </w:rPr>
        <w:t>The</w:t>
      </w:r>
      <w:r w:rsidR="00CB0CC7">
        <w:rPr>
          <w:rFonts w:ascii="Arial" w:hAnsi="Arial" w:cs="Arial"/>
          <w:sz w:val="24"/>
          <w:szCs w:val="24"/>
          <w:lang w:eastAsia="en-GB"/>
        </w:rPr>
        <w:t xml:space="preserve"> key </w:t>
      </w:r>
      <w:r w:rsidRPr="00E86B05">
        <w:rPr>
          <w:rFonts w:ascii="Arial" w:hAnsi="Arial" w:cs="Arial"/>
          <w:sz w:val="24"/>
          <w:szCs w:val="24"/>
          <w:lang w:eastAsia="en-GB"/>
        </w:rPr>
        <w:t xml:space="preserve">risks </w:t>
      </w:r>
      <w:r w:rsidR="00074FFF">
        <w:rPr>
          <w:rFonts w:ascii="Arial" w:hAnsi="Arial" w:cs="Arial"/>
          <w:sz w:val="24"/>
          <w:szCs w:val="24"/>
          <w:lang w:eastAsia="en-GB"/>
        </w:rPr>
        <w:t xml:space="preserve">currently anticipated from </w:t>
      </w:r>
      <w:r w:rsidRPr="00E86B05">
        <w:rPr>
          <w:rFonts w:ascii="Arial" w:hAnsi="Arial" w:cs="Arial"/>
          <w:sz w:val="24"/>
          <w:szCs w:val="24"/>
          <w:lang w:eastAsia="en-GB"/>
        </w:rPr>
        <w:t>the recommendations set out within this report</w:t>
      </w:r>
      <w:r w:rsidR="00074FFF">
        <w:rPr>
          <w:rFonts w:ascii="Arial" w:hAnsi="Arial" w:cs="Arial"/>
          <w:sz w:val="24"/>
          <w:szCs w:val="24"/>
          <w:lang w:eastAsia="en-GB"/>
        </w:rPr>
        <w:t>,</w:t>
      </w:r>
      <w:r w:rsidRPr="00E86B05">
        <w:rPr>
          <w:rFonts w:ascii="Arial" w:hAnsi="Arial" w:cs="Arial"/>
          <w:sz w:val="24"/>
          <w:szCs w:val="24"/>
          <w:lang w:eastAsia="en-GB"/>
        </w:rPr>
        <w:t xml:space="preserve"> are anticipated to be as </w:t>
      </w:r>
      <w:r w:rsidR="005B1E6D">
        <w:rPr>
          <w:rFonts w:ascii="Arial" w:hAnsi="Arial" w:cs="Arial"/>
          <w:sz w:val="24"/>
          <w:szCs w:val="24"/>
          <w:lang w:eastAsia="en-GB"/>
        </w:rPr>
        <w:t>follows</w:t>
      </w:r>
      <w:r w:rsidRPr="00E86B05">
        <w:rPr>
          <w:rFonts w:ascii="Arial" w:hAnsi="Arial" w:cs="Arial"/>
          <w:sz w:val="24"/>
          <w:szCs w:val="24"/>
          <w:lang w:eastAsia="en-GB"/>
        </w:rPr>
        <w:t>:</w:t>
      </w:r>
    </w:p>
    <w:tbl>
      <w:tblPr>
        <w:tblStyle w:val="TableGrid"/>
        <w:tblW w:w="8505" w:type="dxa"/>
        <w:tblInd w:w="562" w:type="dxa"/>
        <w:tblLook w:val="04A0" w:firstRow="1" w:lastRow="0" w:firstColumn="1" w:lastColumn="0" w:noHBand="0" w:noVBand="1"/>
      </w:tblPr>
      <w:tblGrid>
        <w:gridCol w:w="2694"/>
        <w:gridCol w:w="4635"/>
        <w:gridCol w:w="1176"/>
      </w:tblGrid>
      <w:tr w:rsidR="00E86B05" w:rsidRPr="00074FFF" w14:paraId="52FD921F" w14:textId="77777777" w:rsidTr="00EA4FCA">
        <w:tc>
          <w:tcPr>
            <w:tcW w:w="2694" w:type="dxa"/>
          </w:tcPr>
          <w:p w14:paraId="33643999" w14:textId="77777777" w:rsidR="00E86B05" w:rsidRPr="00EA4FCA" w:rsidRDefault="00E86B05" w:rsidP="00F163D9">
            <w:pPr>
              <w:jc w:val="both"/>
              <w:rPr>
                <w:rFonts w:ascii="Arial" w:hAnsi="Arial" w:cs="Arial"/>
                <w:b/>
                <w:bCs/>
                <w:color w:val="000000"/>
                <w:sz w:val="24"/>
                <w:szCs w:val="24"/>
              </w:rPr>
            </w:pPr>
            <w:r w:rsidRPr="00EA4FCA">
              <w:rPr>
                <w:rFonts w:ascii="Arial" w:hAnsi="Arial" w:cs="Arial"/>
                <w:b/>
                <w:bCs/>
                <w:color w:val="000000"/>
                <w:sz w:val="24"/>
                <w:szCs w:val="24"/>
              </w:rPr>
              <w:lastRenderedPageBreak/>
              <w:t>Risk Description</w:t>
            </w:r>
          </w:p>
        </w:tc>
        <w:tc>
          <w:tcPr>
            <w:tcW w:w="4635" w:type="dxa"/>
          </w:tcPr>
          <w:p w14:paraId="27027801" w14:textId="77777777" w:rsidR="00E86B05" w:rsidRPr="00EA4FCA" w:rsidRDefault="00E86B05" w:rsidP="00F163D9">
            <w:pPr>
              <w:jc w:val="both"/>
              <w:rPr>
                <w:rFonts w:ascii="Arial" w:hAnsi="Arial" w:cs="Arial"/>
                <w:b/>
                <w:bCs/>
                <w:color w:val="000000"/>
                <w:sz w:val="24"/>
                <w:szCs w:val="24"/>
              </w:rPr>
            </w:pPr>
            <w:r w:rsidRPr="00EA4FCA">
              <w:rPr>
                <w:rFonts w:ascii="Arial" w:hAnsi="Arial" w:cs="Arial"/>
                <w:b/>
                <w:bCs/>
                <w:color w:val="000000"/>
                <w:sz w:val="24"/>
                <w:szCs w:val="24"/>
              </w:rPr>
              <w:t>Mitigations</w:t>
            </w:r>
          </w:p>
        </w:tc>
        <w:tc>
          <w:tcPr>
            <w:tcW w:w="1176" w:type="dxa"/>
            <w:vAlign w:val="center"/>
          </w:tcPr>
          <w:p w14:paraId="24C2748A" w14:textId="3B72ABC1" w:rsidR="00E86B05" w:rsidRPr="00EA4FCA" w:rsidRDefault="00E86B05" w:rsidP="00EA4FCA">
            <w:pPr>
              <w:jc w:val="center"/>
              <w:rPr>
                <w:rFonts w:ascii="Arial" w:hAnsi="Arial" w:cs="Arial"/>
                <w:b/>
                <w:bCs/>
                <w:color w:val="000000"/>
                <w:sz w:val="24"/>
                <w:szCs w:val="24"/>
              </w:rPr>
            </w:pPr>
            <w:r w:rsidRPr="00EA4FCA">
              <w:rPr>
                <w:rFonts w:ascii="Arial" w:hAnsi="Arial" w:cs="Arial"/>
                <w:b/>
                <w:bCs/>
                <w:color w:val="000000"/>
                <w:sz w:val="24"/>
                <w:szCs w:val="24"/>
              </w:rPr>
              <w:t>RAG</w:t>
            </w:r>
            <w:r w:rsidR="00E2196E" w:rsidRPr="00EA4FCA">
              <w:rPr>
                <w:rFonts w:ascii="Arial" w:hAnsi="Arial" w:cs="Arial"/>
                <w:b/>
                <w:bCs/>
                <w:color w:val="000000"/>
                <w:sz w:val="24"/>
                <w:szCs w:val="24"/>
              </w:rPr>
              <w:t xml:space="preserve"> STATUS</w:t>
            </w:r>
          </w:p>
        </w:tc>
      </w:tr>
      <w:tr w:rsidR="00E86B05" w14:paraId="567CA5AE" w14:textId="77777777" w:rsidTr="00EA4FCA">
        <w:tc>
          <w:tcPr>
            <w:tcW w:w="2694" w:type="dxa"/>
          </w:tcPr>
          <w:p w14:paraId="64DB8DBF" w14:textId="1F450427" w:rsidR="00E86B05" w:rsidRPr="00EA4FCA" w:rsidRDefault="00E86B05" w:rsidP="00EA4FCA">
            <w:pPr>
              <w:rPr>
                <w:rFonts w:ascii="Arial" w:hAnsi="Arial" w:cs="Arial"/>
                <w:color w:val="000000"/>
                <w:sz w:val="24"/>
                <w:szCs w:val="24"/>
              </w:rPr>
            </w:pPr>
            <w:r w:rsidRPr="00EA4FCA">
              <w:rPr>
                <w:rFonts w:ascii="Arial" w:hAnsi="Arial" w:cs="Arial"/>
                <w:color w:val="000000"/>
                <w:sz w:val="24"/>
                <w:szCs w:val="24"/>
              </w:rPr>
              <w:t>1.</w:t>
            </w:r>
            <w:r w:rsidR="00B549A6" w:rsidRPr="00EA4FCA">
              <w:rPr>
                <w:rFonts w:ascii="Arial" w:hAnsi="Arial" w:cs="Arial"/>
                <w:color w:val="000000"/>
                <w:sz w:val="24"/>
                <w:szCs w:val="24"/>
              </w:rPr>
              <w:t xml:space="preserve">There is a limited response to the Invitation to Tender advert.  </w:t>
            </w:r>
          </w:p>
        </w:tc>
        <w:tc>
          <w:tcPr>
            <w:tcW w:w="4635" w:type="dxa"/>
          </w:tcPr>
          <w:p w14:paraId="55D9B419" w14:textId="0DE45AE9" w:rsidR="00E86B05" w:rsidRPr="00EA4FCA" w:rsidRDefault="00B549A6" w:rsidP="00EA4FCA">
            <w:pPr>
              <w:rPr>
                <w:rFonts w:ascii="Arial" w:hAnsi="Arial" w:cs="Arial"/>
                <w:color w:val="000000"/>
                <w:sz w:val="24"/>
                <w:szCs w:val="24"/>
              </w:rPr>
            </w:pPr>
            <w:r w:rsidRPr="00EA4FCA">
              <w:rPr>
                <w:rFonts w:ascii="Arial" w:hAnsi="Arial" w:cs="Arial"/>
                <w:color w:val="000000"/>
                <w:sz w:val="24"/>
                <w:szCs w:val="24"/>
              </w:rPr>
              <w:t xml:space="preserve">Ensure that potential tenderers are aware of the procurement and timescales.  </w:t>
            </w:r>
          </w:p>
        </w:tc>
        <w:tc>
          <w:tcPr>
            <w:tcW w:w="1176" w:type="dxa"/>
            <w:shd w:val="clear" w:color="auto" w:fill="FFC000" w:themeFill="accent4"/>
            <w:vAlign w:val="center"/>
          </w:tcPr>
          <w:p w14:paraId="1BDF0983" w14:textId="364E2731" w:rsidR="00E86B05" w:rsidRPr="00EA4FCA" w:rsidRDefault="00B549A6" w:rsidP="00EA4FCA">
            <w:pPr>
              <w:jc w:val="center"/>
              <w:rPr>
                <w:rFonts w:ascii="Arial" w:hAnsi="Arial" w:cs="Arial"/>
                <w:color w:val="000000"/>
                <w:sz w:val="24"/>
                <w:szCs w:val="24"/>
              </w:rPr>
            </w:pPr>
            <w:r w:rsidRPr="00EA4FCA">
              <w:rPr>
                <w:rFonts w:ascii="Arial" w:hAnsi="Arial" w:cs="Arial"/>
                <w:color w:val="000000"/>
                <w:sz w:val="24"/>
                <w:szCs w:val="24"/>
              </w:rPr>
              <w:t>A</w:t>
            </w:r>
            <w:r w:rsidR="00D94F1A" w:rsidRPr="00EA4FCA">
              <w:rPr>
                <w:rFonts w:ascii="Arial" w:hAnsi="Arial" w:cs="Arial"/>
                <w:color w:val="000000"/>
                <w:sz w:val="24"/>
                <w:szCs w:val="24"/>
              </w:rPr>
              <w:t>MBER</w:t>
            </w:r>
          </w:p>
        </w:tc>
      </w:tr>
      <w:tr w:rsidR="00E86B05" w14:paraId="440D53C5" w14:textId="77777777" w:rsidTr="00EA4FCA">
        <w:tc>
          <w:tcPr>
            <w:tcW w:w="2694" w:type="dxa"/>
          </w:tcPr>
          <w:p w14:paraId="06ECDBCE" w14:textId="7F478D39" w:rsidR="00E86B05" w:rsidRPr="00EA4FCA" w:rsidRDefault="00B549A6" w:rsidP="00EA4FCA">
            <w:pPr>
              <w:rPr>
                <w:rFonts w:ascii="Arial" w:hAnsi="Arial" w:cs="Arial"/>
                <w:color w:val="000000"/>
                <w:sz w:val="24"/>
                <w:szCs w:val="24"/>
              </w:rPr>
            </w:pPr>
            <w:r w:rsidRPr="00EA4FCA">
              <w:rPr>
                <w:rFonts w:ascii="Arial" w:hAnsi="Arial" w:cs="Arial"/>
                <w:color w:val="000000"/>
                <w:sz w:val="24"/>
                <w:szCs w:val="24"/>
              </w:rPr>
              <w:t xml:space="preserve">2. Tenders received are not compliant with </w:t>
            </w:r>
            <w:r w:rsidR="005B1E6D" w:rsidRPr="00EA4FCA">
              <w:rPr>
                <w:rFonts w:ascii="Arial" w:hAnsi="Arial" w:cs="Arial"/>
                <w:color w:val="000000"/>
                <w:sz w:val="24"/>
                <w:szCs w:val="24"/>
              </w:rPr>
              <w:t xml:space="preserve">Invitation to Tender </w:t>
            </w:r>
            <w:r w:rsidRPr="00EA4FCA">
              <w:rPr>
                <w:rFonts w:ascii="Arial" w:hAnsi="Arial" w:cs="Arial"/>
                <w:color w:val="000000"/>
                <w:sz w:val="24"/>
                <w:szCs w:val="24"/>
              </w:rPr>
              <w:t>requirements.</w:t>
            </w:r>
          </w:p>
        </w:tc>
        <w:tc>
          <w:tcPr>
            <w:tcW w:w="4635" w:type="dxa"/>
          </w:tcPr>
          <w:p w14:paraId="47B92E46" w14:textId="3897D71C" w:rsidR="00E86B05" w:rsidRPr="00EA4FCA" w:rsidRDefault="00C638EF" w:rsidP="00EA4FCA">
            <w:pPr>
              <w:rPr>
                <w:rFonts w:ascii="Arial" w:hAnsi="Arial" w:cs="Arial"/>
                <w:color w:val="000000"/>
                <w:sz w:val="24"/>
                <w:szCs w:val="24"/>
              </w:rPr>
            </w:pPr>
            <w:r w:rsidRPr="00EA4FCA">
              <w:rPr>
                <w:rFonts w:ascii="Arial" w:hAnsi="Arial" w:cs="Arial"/>
                <w:color w:val="000000"/>
                <w:sz w:val="24"/>
                <w:szCs w:val="24"/>
              </w:rPr>
              <w:t>Ensure that the parameters and Council requirements are clear.</w:t>
            </w:r>
            <w:r w:rsidR="00B02B66" w:rsidRPr="00EA4FCA">
              <w:rPr>
                <w:rFonts w:ascii="Arial" w:hAnsi="Arial" w:cs="Arial"/>
                <w:color w:val="000000"/>
                <w:sz w:val="24"/>
                <w:szCs w:val="24"/>
              </w:rPr>
              <w:t xml:space="preserve"> </w:t>
            </w:r>
            <w:r w:rsidR="005B1E6D" w:rsidRPr="00EA4FCA">
              <w:rPr>
                <w:rFonts w:ascii="Arial" w:hAnsi="Arial" w:cs="Arial"/>
                <w:color w:val="000000"/>
                <w:sz w:val="24"/>
                <w:szCs w:val="24"/>
              </w:rPr>
              <w:t xml:space="preserve">  </w:t>
            </w:r>
            <w:r w:rsidR="00B549A6" w:rsidRPr="00EA4FCA">
              <w:rPr>
                <w:rFonts w:ascii="Arial" w:hAnsi="Arial" w:cs="Arial"/>
                <w:color w:val="000000"/>
                <w:sz w:val="24"/>
                <w:szCs w:val="24"/>
              </w:rPr>
              <w:t xml:space="preserve">  </w:t>
            </w:r>
          </w:p>
        </w:tc>
        <w:tc>
          <w:tcPr>
            <w:tcW w:w="1176" w:type="dxa"/>
            <w:shd w:val="clear" w:color="auto" w:fill="70AD47" w:themeFill="accent6"/>
            <w:vAlign w:val="center"/>
          </w:tcPr>
          <w:p w14:paraId="2631155D" w14:textId="35F7FD1C" w:rsidR="00E86B05" w:rsidRPr="00EA4FCA" w:rsidRDefault="00B549A6" w:rsidP="00EA4FCA">
            <w:pPr>
              <w:jc w:val="center"/>
              <w:rPr>
                <w:rFonts w:ascii="Arial" w:hAnsi="Arial" w:cs="Arial"/>
                <w:color w:val="000000"/>
                <w:sz w:val="24"/>
                <w:szCs w:val="24"/>
              </w:rPr>
            </w:pPr>
            <w:r w:rsidRPr="00EA4FCA">
              <w:rPr>
                <w:rFonts w:ascii="Arial" w:hAnsi="Arial" w:cs="Arial"/>
                <w:color w:val="000000"/>
                <w:sz w:val="24"/>
                <w:szCs w:val="24"/>
              </w:rPr>
              <w:t>G</w:t>
            </w:r>
            <w:r w:rsidR="00D94F1A" w:rsidRPr="00EA4FCA">
              <w:rPr>
                <w:rFonts w:ascii="Arial" w:hAnsi="Arial" w:cs="Arial"/>
                <w:color w:val="000000"/>
                <w:sz w:val="24"/>
                <w:szCs w:val="24"/>
              </w:rPr>
              <w:t>REEN</w:t>
            </w:r>
          </w:p>
        </w:tc>
      </w:tr>
      <w:tr w:rsidR="00E86B05" w14:paraId="18909731" w14:textId="77777777" w:rsidTr="00EA4FCA">
        <w:tc>
          <w:tcPr>
            <w:tcW w:w="2694" w:type="dxa"/>
          </w:tcPr>
          <w:p w14:paraId="4E53953E" w14:textId="3F2C45D5" w:rsidR="00E86B05" w:rsidRPr="00EA4FCA" w:rsidRDefault="00E86B05" w:rsidP="00EA4FCA">
            <w:pPr>
              <w:rPr>
                <w:rFonts w:ascii="Arial" w:hAnsi="Arial" w:cs="Arial"/>
                <w:color w:val="000000"/>
                <w:sz w:val="24"/>
                <w:szCs w:val="24"/>
              </w:rPr>
            </w:pPr>
            <w:r w:rsidRPr="00EA4FCA">
              <w:rPr>
                <w:rFonts w:ascii="Arial" w:hAnsi="Arial" w:cs="Arial"/>
                <w:color w:val="000000"/>
                <w:sz w:val="24"/>
                <w:szCs w:val="24"/>
              </w:rPr>
              <w:t>3.</w:t>
            </w:r>
            <w:r w:rsidR="00B549A6" w:rsidRPr="00EA4FCA">
              <w:rPr>
                <w:rFonts w:ascii="Arial" w:hAnsi="Arial" w:cs="Arial"/>
                <w:color w:val="000000"/>
                <w:sz w:val="24"/>
                <w:szCs w:val="24"/>
              </w:rPr>
              <w:t>Tender prices are above the budgetary provision available.</w:t>
            </w:r>
          </w:p>
        </w:tc>
        <w:tc>
          <w:tcPr>
            <w:tcW w:w="4635" w:type="dxa"/>
          </w:tcPr>
          <w:p w14:paraId="77913BD8" w14:textId="47E97F52" w:rsidR="00E86B05" w:rsidRPr="00EA4FCA" w:rsidRDefault="00B549A6" w:rsidP="00EA4FCA">
            <w:pPr>
              <w:rPr>
                <w:rFonts w:ascii="Arial" w:hAnsi="Arial" w:cs="Arial"/>
                <w:sz w:val="24"/>
                <w:szCs w:val="24"/>
              </w:rPr>
            </w:pPr>
            <w:r w:rsidRPr="00EA4FCA">
              <w:rPr>
                <w:rFonts w:ascii="Arial" w:hAnsi="Arial" w:cs="Arial"/>
                <w:sz w:val="24"/>
                <w:szCs w:val="24"/>
              </w:rPr>
              <w:t xml:space="preserve">Provide the budget window in the Selection Questionnaire to clarify compliance prior to opening tenders.  </w:t>
            </w:r>
          </w:p>
          <w:p w14:paraId="19B1C2E2" w14:textId="77777777" w:rsidR="00E86B05" w:rsidRPr="00EA4FCA" w:rsidRDefault="00E86B05" w:rsidP="00EA4FCA">
            <w:pPr>
              <w:rPr>
                <w:rFonts w:ascii="Arial" w:hAnsi="Arial" w:cs="Arial"/>
                <w:sz w:val="24"/>
                <w:szCs w:val="24"/>
              </w:rPr>
            </w:pPr>
          </w:p>
          <w:p w14:paraId="0F02548A" w14:textId="77777777" w:rsidR="00E86B05" w:rsidRPr="00EA4FCA" w:rsidRDefault="00E86B05" w:rsidP="00EA4FCA">
            <w:pPr>
              <w:rPr>
                <w:rFonts w:ascii="Arial" w:hAnsi="Arial" w:cs="Arial"/>
                <w:sz w:val="24"/>
                <w:szCs w:val="24"/>
              </w:rPr>
            </w:pPr>
          </w:p>
        </w:tc>
        <w:tc>
          <w:tcPr>
            <w:tcW w:w="1176" w:type="dxa"/>
            <w:shd w:val="clear" w:color="auto" w:fill="FFC000"/>
            <w:vAlign w:val="center"/>
          </w:tcPr>
          <w:p w14:paraId="6771ECA6" w14:textId="642A1CEA" w:rsidR="00E86B05" w:rsidRPr="00EA4FCA" w:rsidRDefault="00E86B05" w:rsidP="00EA4FCA">
            <w:pPr>
              <w:jc w:val="center"/>
              <w:rPr>
                <w:rFonts w:ascii="Arial" w:hAnsi="Arial" w:cs="Arial"/>
                <w:color w:val="FF0000"/>
                <w:sz w:val="24"/>
                <w:szCs w:val="24"/>
              </w:rPr>
            </w:pPr>
            <w:r w:rsidRPr="00EA4FCA">
              <w:rPr>
                <w:rFonts w:ascii="Arial" w:hAnsi="Arial" w:cs="Arial"/>
                <w:sz w:val="24"/>
                <w:szCs w:val="24"/>
              </w:rPr>
              <w:t>A</w:t>
            </w:r>
            <w:r w:rsidR="00D94F1A" w:rsidRPr="00EA4FCA">
              <w:rPr>
                <w:rFonts w:ascii="Arial" w:hAnsi="Arial" w:cs="Arial"/>
                <w:sz w:val="24"/>
                <w:szCs w:val="24"/>
              </w:rPr>
              <w:t>MBER</w:t>
            </w:r>
          </w:p>
        </w:tc>
      </w:tr>
      <w:tr w:rsidR="00E86B05" w14:paraId="2938A7AF" w14:textId="77777777" w:rsidTr="00EA4FCA">
        <w:tc>
          <w:tcPr>
            <w:tcW w:w="2694" w:type="dxa"/>
            <w:tcBorders>
              <w:top w:val="single" w:sz="4" w:space="0" w:color="auto"/>
              <w:left w:val="single" w:sz="4" w:space="0" w:color="auto"/>
              <w:bottom w:val="single" w:sz="4" w:space="0" w:color="auto"/>
              <w:right w:val="single" w:sz="4" w:space="0" w:color="auto"/>
            </w:tcBorders>
          </w:tcPr>
          <w:p w14:paraId="442E141C" w14:textId="6BCF639C" w:rsidR="00E86B05" w:rsidRPr="00EA4FCA" w:rsidRDefault="005B1E6D" w:rsidP="00EA4FCA">
            <w:pPr>
              <w:pStyle w:val="ListParagraph"/>
              <w:numPr>
                <w:ilvl w:val="0"/>
                <w:numId w:val="6"/>
              </w:numPr>
              <w:tabs>
                <w:tab w:val="left" w:pos="171"/>
              </w:tabs>
              <w:ind w:left="0" w:firstLine="0"/>
              <w:rPr>
                <w:rFonts w:cs="Arial"/>
                <w:szCs w:val="24"/>
              </w:rPr>
            </w:pPr>
            <w:r w:rsidRPr="00EA4FCA">
              <w:rPr>
                <w:rFonts w:cs="Arial"/>
                <w:szCs w:val="24"/>
              </w:rPr>
              <w:t xml:space="preserve">A legal challenge is received in relation to the procurement process conducted. </w:t>
            </w:r>
          </w:p>
        </w:tc>
        <w:tc>
          <w:tcPr>
            <w:tcW w:w="4635" w:type="dxa"/>
            <w:tcBorders>
              <w:top w:val="single" w:sz="4" w:space="0" w:color="auto"/>
              <w:left w:val="single" w:sz="4" w:space="0" w:color="auto"/>
              <w:bottom w:val="single" w:sz="4" w:space="0" w:color="auto"/>
              <w:right w:val="single" w:sz="4" w:space="0" w:color="auto"/>
            </w:tcBorders>
          </w:tcPr>
          <w:p w14:paraId="36C65063" w14:textId="62B97BCE" w:rsidR="00E86B05" w:rsidRPr="00EA4FCA" w:rsidRDefault="005B1E6D" w:rsidP="00EA4FCA">
            <w:pPr>
              <w:rPr>
                <w:rFonts w:ascii="Arial" w:hAnsi="Arial" w:cs="Arial"/>
                <w:color w:val="000000"/>
                <w:sz w:val="24"/>
                <w:szCs w:val="24"/>
              </w:rPr>
            </w:pPr>
            <w:r w:rsidRPr="00EA4FCA">
              <w:rPr>
                <w:rFonts w:ascii="Arial" w:hAnsi="Arial" w:cs="Arial"/>
                <w:color w:val="000000"/>
                <w:sz w:val="24"/>
                <w:szCs w:val="24"/>
              </w:rPr>
              <w:t>A project team comprising of subject matter experts representing key areas underpinning the service contract will be established, incorporating Legal Services, Procurement, GDPR, IT Security and Revenues and Benefits to ensure that the project is conduct in a transparent and compliant format.</w:t>
            </w:r>
            <w:r w:rsidR="00E86B05" w:rsidRPr="00EA4FCA">
              <w:rPr>
                <w:rFonts w:ascii="Arial" w:hAnsi="Arial" w:cs="Arial"/>
                <w:color w:val="000000"/>
                <w:sz w:val="24"/>
                <w:szCs w:val="24"/>
              </w:rPr>
              <w:t xml:space="preserve"> </w:t>
            </w:r>
          </w:p>
        </w:tc>
        <w:tc>
          <w:tcPr>
            <w:tcW w:w="1176" w:type="dxa"/>
            <w:tcBorders>
              <w:left w:val="single" w:sz="4" w:space="0" w:color="auto"/>
            </w:tcBorders>
            <w:shd w:val="clear" w:color="auto" w:fill="70AD47" w:themeFill="accent6"/>
            <w:vAlign w:val="center"/>
          </w:tcPr>
          <w:p w14:paraId="7106B41D" w14:textId="5B23074C" w:rsidR="00E86B05" w:rsidRPr="00EA4FCA" w:rsidRDefault="005B1E6D" w:rsidP="00EA4FCA">
            <w:pPr>
              <w:jc w:val="center"/>
              <w:rPr>
                <w:rFonts w:ascii="Arial" w:hAnsi="Arial" w:cs="Arial"/>
                <w:color w:val="000000"/>
                <w:sz w:val="24"/>
                <w:szCs w:val="24"/>
              </w:rPr>
            </w:pPr>
            <w:r w:rsidRPr="00EA4FCA">
              <w:rPr>
                <w:rFonts w:ascii="Arial" w:hAnsi="Arial" w:cs="Arial"/>
                <w:color w:val="000000"/>
                <w:sz w:val="24"/>
                <w:szCs w:val="24"/>
              </w:rPr>
              <w:t>G</w:t>
            </w:r>
            <w:r w:rsidR="00D94F1A" w:rsidRPr="00EA4FCA">
              <w:rPr>
                <w:rFonts w:ascii="Arial" w:hAnsi="Arial" w:cs="Arial"/>
                <w:color w:val="000000"/>
                <w:sz w:val="24"/>
                <w:szCs w:val="24"/>
              </w:rPr>
              <w:t>REEN</w:t>
            </w:r>
          </w:p>
        </w:tc>
      </w:tr>
    </w:tbl>
    <w:p w14:paraId="66FA2F81" w14:textId="77777777" w:rsidR="003B3B1F" w:rsidRDefault="003B3B1F" w:rsidP="00101CCD">
      <w:pPr>
        <w:tabs>
          <w:tab w:val="left" w:pos="567"/>
        </w:tabs>
        <w:spacing w:after="0"/>
        <w:jc w:val="both"/>
        <w:outlineLvl w:val="1"/>
        <w:rPr>
          <w:rFonts w:ascii="Arial" w:hAnsi="Arial" w:cs="Arial"/>
          <w:b/>
          <w:color w:val="000000"/>
          <w:sz w:val="28"/>
          <w:szCs w:val="28"/>
        </w:rPr>
      </w:pPr>
    </w:p>
    <w:p w14:paraId="605741A4" w14:textId="27D9BB7B" w:rsidR="00101CCD" w:rsidRPr="00E3014A" w:rsidRDefault="00F01AEE" w:rsidP="00101CCD">
      <w:pPr>
        <w:tabs>
          <w:tab w:val="left" w:pos="567"/>
        </w:tabs>
        <w:spacing w:after="0"/>
        <w:jc w:val="both"/>
        <w:outlineLvl w:val="1"/>
        <w:rPr>
          <w:rFonts w:ascii="Arial" w:hAnsi="Arial" w:cs="Arial"/>
          <w:b/>
          <w:color w:val="000000"/>
          <w:sz w:val="28"/>
          <w:szCs w:val="28"/>
        </w:rPr>
      </w:pPr>
      <w:r>
        <w:rPr>
          <w:rFonts w:ascii="Arial" w:hAnsi="Arial" w:cs="Arial"/>
          <w:b/>
          <w:color w:val="000000"/>
          <w:sz w:val="28"/>
          <w:szCs w:val="28"/>
        </w:rPr>
        <w:t>8.0</w:t>
      </w:r>
      <w:r>
        <w:rPr>
          <w:rFonts w:ascii="Arial" w:hAnsi="Arial" w:cs="Arial"/>
          <w:b/>
          <w:color w:val="000000"/>
          <w:sz w:val="28"/>
          <w:szCs w:val="28"/>
        </w:rPr>
        <w:tab/>
      </w:r>
      <w:r>
        <w:rPr>
          <w:rFonts w:ascii="Arial" w:hAnsi="Arial" w:cs="Arial"/>
          <w:b/>
          <w:color w:val="000000"/>
          <w:sz w:val="28"/>
          <w:szCs w:val="28"/>
        </w:rPr>
        <w:tab/>
      </w:r>
      <w:r w:rsidR="00101CCD" w:rsidRPr="00E3014A">
        <w:rPr>
          <w:rFonts w:ascii="Arial" w:hAnsi="Arial" w:cs="Arial"/>
          <w:b/>
          <w:color w:val="000000"/>
          <w:sz w:val="28"/>
          <w:szCs w:val="28"/>
        </w:rPr>
        <w:t xml:space="preserve">Environmental Implications </w:t>
      </w:r>
    </w:p>
    <w:p w14:paraId="0E7E15A9" w14:textId="1C23ADE6" w:rsidR="00101CCD" w:rsidRDefault="00101CCD" w:rsidP="00F01AEE">
      <w:pPr>
        <w:ind w:left="720"/>
        <w:jc w:val="both"/>
        <w:rPr>
          <w:rFonts w:ascii="Arial" w:hAnsi="Arial" w:cs="Arial"/>
          <w:sz w:val="24"/>
          <w:szCs w:val="24"/>
        </w:rPr>
      </w:pPr>
      <w:r w:rsidRPr="00061C14">
        <w:rPr>
          <w:rFonts w:ascii="Arial" w:hAnsi="Arial" w:cs="Arial"/>
          <w:sz w:val="24"/>
          <w:szCs w:val="24"/>
        </w:rPr>
        <w:t xml:space="preserve">There are no significant environmental impacts currently anticipated from the recommendations contained within this report.  However, subject to approval of the recommendations in this report, tenderers will be requested to submit proposals that have a positive impact for the local environment and that shall be evaluated for the purposes of determining the most economically advantageous tender(s).  </w:t>
      </w:r>
    </w:p>
    <w:p w14:paraId="3E92C57C" w14:textId="2D8D6AFA" w:rsidR="00101CCD" w:rsidRPr="00E3014A" w:rsidRDefault="00F01AEE" w:rsidP="00101CCD">
      <w:pPr>
        <w:spacing w:after="0"/>
        <w:jc w:val="both"/>
        <w:rPr>
          <w:rFonts w:ascii="Arial" w:hAnsi="Arial" w:cs="Arial"/>
          <w:b/>
          <w:color w:val="000000"/>
          <w:sz w:val="28"/>
          <w:szCs w:val="28"/>
        </w:rPr>
      </w:pPr>
      <w:r>
        <w:rPr>
          <w:rFonts w:ascii="Arial" w:hAnsi="Arial" w:cs="Arial"/>
          <w:b/>
          <w:color w:val="000000"/>
          <w:sz w:val="28"/>
          <w:szCs w:val="28"/>
        </w:rPr>
        <w:t>9.0</w:t>
      </w:r>
      <w:r>
        <w:rPr>
          <w:rFonts w:ascii="Arial" w:hAnsi="Arial" w:cs="Arial"/>
          <w:b/>
          <w:color w:val="000000"/>
          <w:sz w:val="28"/>
          <w:szCs w:val="28"/>
        </w:rPr>
        <w:tab/>
      </w:r>
      <w:r w:rsidR="00101CCD" w:rsidRPr="00E3014A">
        <w:rPr>
          <w:rFonts w:ascii="Arial" w:hAnsi="Arial" w:cs="Arial"/>
          <w:b/>
          <w:color w:val="000000"/>
          <w:sz w:val="28"/>
          <w:szCs w:val="28"/>
        </w:rPr>
        <w:t xml:space="preserve">Data Protection Implications </w:t>
      </w:r>
    </w:p>
    <w:p w14:paraId="1FAF061B" w14:textId="77777777" w:rsidR="00101CCD" w:rsidRDefault="00101CCD" w:rsidP="00F01AEE">
      <w:pPr>
        <w:ind w:left="720"/>
        <w:jc w:val="both"/>
        <w:rPr>
          <w:rFonts w:ascii="Arial" w:hAnsi="Arial" w:cs="Arial"/>
          <w:color w:val="000000"/>
          <w:sz w:val="24"/>
          <w:szCs w:val="24"/>
        </w:rPr>
      </w:pPr>
      <w:r w:rsidRPr="00061C14">
        <w:rPr>
          <w:rFonts w:ascii="Arial" w:hAnsi="Arial" w:cs="Arial"/>
          <w:color w:val="000000"/>
          <w:sz w:val="24"/>
          <w:szCs w:val="24"/>
        </w:rPr>
        <w:t xml:space="preserve">There are direct data protection impacts anticipated from the recommendations contained within this report.  In particular, a third-party supplier will be required to comply with the provisions of the General Data Protection Regulation and associated requirements set out within the proposed contractual agreement. </w:t>
      </w:r>
    </w:p>
    <w:p w14:paraId="4173290E" w14:textId="3424231E" w:rsidR="00B02B66" w:rsidRDefault="00B02B66" w:rsidP="00B02B66">
      <w:pPr>
        <w:ind w:left="720"/>
        <w:jc w:val="both"/>
        <w:rPr>
          <w:rFonts w:ascii="Arial" w:hAnsi="Arial" w:cs="Arial"/>
          <w:sz w:val="24"/>
          <w:szCs w:val="24"/>
        </w:rPr>
      </w:pPr>
      <w:r>
        <w:rPr>
          <w:rFonts w:ascii="Arial" w:hAnsi="Arial" w:cs="Arial"/>
          <w:sz w:val="24"/>
          <w:szCs w:val="24"/>
        </w:rPr>
        <w:t xml:space="preserve">To </w:t>
      </w:r>
      <w:r w:rsidRPr="000D657F">
        <w:rPr>
          <w:rFonts w:ascii="Arial" w:hAnsi="Arial" w:cs="Arial"/>
          <w:sz w:val="24"/>
          <w:szCs w:val="24"/>
        </w:rPr>
        <w:t>mitigat</w:t>
      </w:r>
      <w:r w:rsidR="00825F72">
        <w:rPr>
          <w:rFonts w:ascii="Arial" w:hAnsi="Arial" w:cs="Arial"/>
          <w:sz w:val="24"/>
          <w:szCs w:val="24"/>
        </w:rPr>
        <w:t>e</w:t>
      </w:r>
      <w:r w:rsidRPr="000D657F">
        <w:rPr>
          <w:rFonts w:ascii="Arial" w:hAnsi="Arial" w:cs="Arial"/>
          <w:sz w:val="24"/>
          <w:szCs w:val="24"/>
        </w:rPr>
        <w:t xml:space="preserve"> risks associated with</w:t>
      </w:r>
      <w:r>
        <w:rPr>
          <w:rFonts w:ascii="Arial" w:hAnsi="Arial" w:cs="Arial"/>
          <w:sz w:val="24"/>
          <w:szCs w:val="24"/>
        </w:rPr>
        <w:t xml:space="preserve"> Data</w:t>
      </w:r>
      <w:r w:rsidRPr="000D657F">
        <w:rPr>
          <w:rFonts w:ascii="Arial" w:hAnsi="Arial" w:cs="Arial"/>
          <w:sz w:val="24"/>
          <w:szCs w:val="24"/>
        </w:rPr>
        <w:t xml:space="preserve">, </w:t>
      </w:r>
      <w:r>
        <w:rPr>
          <w:rFonts w:ascii="Arial" w:hAnsi="Arial" w:cs="Arial"/>
          <w:sz w:val="24"/>
          <w:szCs w:val="24"/>
        </w:rPr>
        <w:t>a</w:t>
      </w:r>
      <w:r w:rsidRPr="000D657F">
        <w:rPr>
          <w:rFonts w:ascii="Arial" w:hAnsi="Arial" w:cs="Arial"/>
          <w:sz w:val="24"/>
          <w:szCs w:val="24"/>
        </w:rPr>
        <w:t xml:space="preserve"> technical requirement</w:t>
      </w:r>
      <w:r>
        <w:rPr>
          <w:rFonts w:ascii="Arial" w:hAnsi="Arial" w:cs="Arial"/>
          <w:sz w:val="24"/>
          <w:szCs w:val="24"/>
        </w:rPr>
        <w:t xml:space="preserve"> will be</w:t>
      </w:r>
      <w:r w:rsidRPr="000D657F">
        <w:rPr>
          <w:rFonts w:ascii="Arial" w:hAnsi="Arial" w:cs="Arial"/>
          <w:sz w:val="24"/>
          <w:szCs w:val="24"/>
        </w:rPr>
        <w:t xml:space="preserve"> included </w:t>
      </w:r>
      <w:r>
        <w:rPr>
          <w:rFonts w:ascii="Arial" w:hAnsi="Arial" w:cs="Arial"/>
          <w:sz w:val="24"/>
          <w:szCs w:val="24"/>
        </w:rPr>
        <w:t xml:space="preserve">within the Selection Questionnaire for an organisation to hold </w:t>
      </w:r>
      <w:r w:rsidRPr="000D657F">
        <w:rPr>
          <w:rFonts w:ascii="Arial" w:hAnsi="Arial" w:cs="Arial"/>
          <w:sz w:val="24"/>
          <w:szCs w:val="24"/>
        </w:rPr>
        <w:t>either Cyber Essentials or Cyber Essentials Plus certification</w:t>
      </w:r>
      <w:r>
        <w:rPr>
          <w:rFonts w:ascii="Arial" w:hAnsi="Arial" w:cs="Arial"/>
          <w:sz w:val="24"/>
          <w:szCs w:val="24"/>
        </w:rPr>
        <w:t xml:space="preserve">. </w:t>
      </w:r>
      <w:r w:rsidRPr="000D657F">
        <w:rPr>
          <w:rFonts w:ascii="Arial" w:hAnsi="Arial" w:cs="Arial"/>
          <w:sz w:val="24"/>
          <w:szCs w:val="24"/>
        </w:rPr>
        <w:t>Where a supplier does not hold Cyber Essentials or Cyber Essentials Plus they must be able to demonstrate equivalent controls are in place through other means.</w:t>
      </w:r>
      <w:r>
        <w:rPr>
          <w:rFonts w:ascii="Arial" w:hAnsi="Arial" w:cs="Arial"/>
          <w:sz w:val="24"/>
          <w:szCs w:val="24"/>
        </w:rPr>
        <w:t xml:space="preserve"> </w:t>
      </w:r>
      <w:r w:rsidRPr="00061C14">
        <w:rPr>
          <w:rFonts w:ascii="Arial" w:hAnsi="Arial" w:cs="Arial"/>
          <w:sz w:val="24"/>
          <w:szCs w:val="24"/>
        </w:rPr>
        <w:t xml:space="preserve">It is also proposed that Data and IT Security be one of the qualitative criteria evaluated for the purposes of determining the most economically advantageous tender (“MEAT”).  </w:t>
      </w:r>
    </w:p>
    <w:p w14:paraId="6B68FE62" w14:textId="663F49AB" w:rsidR="00B549A6" w:rsidRPr="00E3014A" w:rsidRDefault="00F01AEE" w:rsidP="00E3014A">
      <w:pPr>
        <w:keepNext/>
        <w:spacing w:after="0"/>
        <w:outlineLvl w:val="1"/>
        <w:rPr>
          <w:rFonts w:ascii="Arial" w:hAnsi="Arial" w:cs="Arial"/>
          <w:b/>
          <w:bCs/>
          <w:sz w:val="28"/>
          <w:szCs w:val="28"/>
        </w:rPr>
      </w:pPr>
      <w:r>
        <w:rPr>
          <w:rFonts w:ascii="Arial" w:hAnsi="Arial" w:cs="Arial"/>
          <w:b/>
          <w:bCs/>
          <w:sz w:val="28"/>
          <w:szCs w:val="28"/>
        </w:rPr>
        <w:lastRenderedPageBreak/>
        <w:t>10.0</w:t>
      </w:r>
      <w:r>
        <w:rPr>
          <w:rFonts w:ascii="Arial" w:hAnsi="Arial" w:cs="Arial"/>
          <w:b/>
          <w:bCs/>
          <w:sz w:val="28"/>
          <w:szCs w:val="28"/>
        </w:rPr>
        <w:tab/>
      </w:r>
      <w:r w:rsidR="00E86B05" w:rsidRPr="00E3014A">
        <w:rPr>
          <w:rFonts w:ascii="Arial" w:hAnsi="Arial" w:cs="Arial"/>
          <w:b/>
          <w:bCs/>
          <w:sz w:val="28"/>
          <w:szCs w:val="28"/>
        </w:rPr>
        <w:t>Equalities implications</w:t>
      </w:r>
    </w:p>
    <w:p w14:paraId="214C5E3F" w14:textId="7E039B47" w:rsidR="00E86B05" w:rsidRDefault="00061C14" w:rsidP="00F01AEE">
      <w:pPr>
        <w:keepNext/>
        <w:ind w:left="720"/>
        <w:outlineLvl w:val="1"/>
        <w:rPr>
          <w:rFonts w:ascii="Arial" w:hAnsi="Arial" w:cs="Arial"/>
          <w:color w:val="000000"/>
          <w:sz w:val="24"/>
          <w:szCs w:val="24"/>
        </w:rPr>
      </w:pPr>
      <w:r w:rsidRPr="00B549A6">
        <w:rPr>
          <w:rFonts w:ascii="Arial" w:hAnsi="Arial" w:cs="Arial"/>
          <w:color w:val="000000"/>
          <w:sz w:val="24"/>
          <w:szCs w:val="24"/>
        </w:rPr>
        <w:t xml:space="preserve">An equalities impact assessment has been conducted and there </w:t>
      </w:r>
      <w:r w:rsidR="00E86B05" w:rsidRPr="00B549A6">
        <w:rPr>
          <w:rFonts w:ascii="Arial" w:hAnsi="Arial" w:cs="Arial"/>
          <w:color w:val="000000"/>
          <w:sz w:val="24"/>
          <w:szCs w:val="24"/>
        </w:rPr>
        <w:t xml:space="preserve">are no Equalities implications </w:t>
      </w:r>
      <w:r w:rsidRPr="00B549A6">
        <w:rPr>
          <w:rFonts w:ascii="Arial" w:hAnsi="Arial" w:cs="Arial"/>
          <w:color w:val="000000"/>
          <w:sz w:val="24"/>
          <w:szCs w:val="24"/>
        </w:rPr>
        <w:t xml:space="preserve">currently anticipated </w:t>
      </w:r>
      <w:r w:rsidR="00E86B05" w:rsidRPr="00B549A6">
        <w:rPr>
          <w:rFonts w:ascii="Arial" w:hAnsi="Arial" w:cs="Arial"/>
          <w:color w:val="000000"/>
          <w:sz w:val="24"/>
          <w:szCs w:val="24"/>
        </w:rPr>
        <w:t>from this report.</w:t>
      </w:r>
    </w:p>
    <w:p w14:paraId="68828DC9" w14:textId="1E86CCCC" w:rsidR="00E86B05" w:rsidRPr="00E3014A" w:rsidRDefault="0044606D" w:rsidP="00E3014A">
      <w:pPr>
        <w:spacing w:after="0"/>
        <w:rPr>
          <w:rFonts w:ascii="Arial" w:hAnsi="Arial" w:cs="Arial"/>
          <w:b/>
          <w:sz w:val="28"/>
          <w:szCs w:val="28"/>
        </w:rPr>
      </w:pPr>
      <w:r>
        <w:rPr>
          <w:rFonts w:ascii="Arial" w:hAnsi="Arial" w:cs="Arial"/>
          <w:b/>
          <w:sz w:val="28"/>
          <w:szCs w:val="28"/>
        </w:rPr>
        <w:t>11.0</w:t>
      </w:r>
      <w:r>
        <w:rPr>
          <w:rFonts w:ascii="Arial" w:hAnsi="Arial" w:cs="Arial"/>
          <w:b/>
          <w:sz w:val="28"/>
          <w:szCs w:val="28"/>
        </w:rPr>
        <w:tab/>
      </w:r>
      <w:r w:rsidR="00E86B05" w:rsidRPr="00E3014A">
        <w:rPr>
          <w:rFonts w:ascii="Arial" w:hAnsi="Arial" w:cs="Arial"/>
          <w:b/>
          <w:sz w:val="28"/>
          <w:szCs w:val="28"/>
        </w:rPr>
        <w:t>Council Priorities</w:t>
      </w:r>
    </w:p>
    <w:p w14:paraId="73864184" w14:textId="3ED904C8" w:rsidR="00E86B05" w:rsidRPr="00B549A6" w:rsidRDefault="00E86B05" w:rsidP="0044606D">
      <w:pPr>
        <w:ind w:left="720"/>
        <w:jc w:val="both"/>
        <w:rPr>
          <w:rFonts w:ascii="Arial" w:hAnsi="Arial" w:cs="Arial"/>
          <w:sz w:val="24"/>
          <w:szCs w:val="24"/>
        </w:rPr>
      </w:pPr>
      <w:r w:rsidRPr="00B549A6">
        <w:rPr>
          <w:rFonts w:ascii="Arial" w:hAnsi="Arial" w:cs="Arial"/>
          <w:sz w:val="24"/>
          <w:szCs w:val="24"/>
        </w:rPr>
        <w:t xml:space="preserve">The </w:t>
      </w:r>
      <w:r w:rsidR="00B549A6">
        <w:rPr>
          <w:rFonts w:ascii="Arial" w:hAnsi="Arial" w:cs="Arial"/>
          <w:sz w:val="24"/>
          <w:szCs w:val="24"/>
        </w:rPr>
        <w:t>services in scope are f</w:t>
      </w:r>
      <w:r w:rsidRPr="00B549A6">
        <w:rPr>
          <w:rFonts w:ascii="Arial" w:hAnsi="Arial" w:cs="Arial"/>
          <w:sz w:val="24"/>
          <w:szCs w:val="24"/>
        </w:rPr>
        <w:t xml:space="preserve">undamental in supporting </w:t>
      </w:r>
      <w:r w:rsidR="005B1E6D">
        <w:rPr>
          <w:rFonts w:ascii="Arial" w:hAnsi="Arial" w:cs="Arial"/>
          <w:sz w:val="24"/>
          <w:szCs w:val="24"/>
        </w:rPr>
        <w:t xml:space="preserve">the </w:t>
      </w:r>
      <w:r w:rsidRPr="00B549A6">
        <w:rPr>
          <w:rFonts w:ascii="Arial" w:hAnsi="Arial" w:cs="Arial"/>
          <w:sz w:val="24"/>
          <w:szCs w:val="24"/>
        </w:rPr>
        <w:t>corporate priorities</w:t>
      </w:r>
      <w:r w:rsidR="005B1E6D">
        <w:rPr>
          <w:rFonts w:ascii="Arial" w:hAnsi="Arial" w:cs="Arial"/>
          <w:sz w:val="24"/>
          <w:szCs w:val="24"/>
        </w:rPr>
        <w:t xml:space="preserve"> listed below</w:t>
      </w:r>
      <w:r w:rsidR="00B549A6">
        <w:rPr>
          <w:rFonts w:ascii="Arial" w:hAnsi="Arial" w:cs="Arial"/>
          <w:sz w:val="24"/>
          <w:szCs w:val="24"/>
        </w:rPr>
        <w:t xml:space="preserve">, </w:t>
      </w:r>
      <w:r w:rsidRPr="00B549A6">
        <w:rPr>
          <w:rFonts w:ascii="Arial" w:hAnsi="Arial" w:cs="Arial"/>
          <w:sz w:val="24"/>
          <w:szCs w:val="24"/>
        </w:rPr>
        <w:t xml:space="preserve">as </w:t>
      </w:r>
      <w:r w:rsidR="00B549A6">
        <w:rPr>
          <w:rFonts w:ascii="Arial" w:hAnsi="Arial" w:cs="Arial"/>
          <w:sz w:val="24"/>
          <w:szCs w:val="24"/>
        </w:rPr>
        <w:t xml:space="preserve">they represent a </w:t>
      </w:r>
      <w:r w:rsidRPr="00B549A6">
        <w:rPr>
          <w:rFonts w:ascii="Arial" w:hAnsi="Arial" w:cs="Arial"/>
          <w:sz w:val="24"/>
          <w:szCs w:val="24"/>
        </w:rPr>
        <w:t>key element of the Council’s overall budget</w:t>
      </w:r>
      <w:r w:rsidR="005B1E6D">
        <w:rPr>
          <w:rFonts w:ascii="Arial" w:hAnsi="Arial" w:cs="Arial"/>
          <w:sz w:val="24"/>
          <w:szCs w:val="24"/>
        </w:rPr>
        <w:t>.  I</w:t>
      </w:r>
      <w:r w:rsidR="00B549A6">
        <w:rPr>
          <w:rFonts w:ascii="Arial" w:hAnsi="Arial" w:cs="Arial"/>
          <w:sz w:val="24"/>
          <w:szCs w:val="24"/>
        </w:rPr>
        <w:t xml:space="preserve">n the case of Council Tax and Business Rates, </w:t>
      </w:r>
      <w:r w:rsidR="005B1E6D">
        <w:rPr>
          <w:rFonts w:ascii="Arial" w:hAnsi="Arial" w:cs="Arial"/>
          <w:sz w:val="24"/>
          <w:szCs w:val="24"/>
        </w:rPr>
        <w:t xml:space="preserve">they </w:t>
      </w:r>
      <w:r w:rsidR="00B549A6">
        <w:rPr>
          <w:rFonts w:ascii="Arial" w:hAnsi="Arial" w:cs="Arial"/>
          <w:sz w:val="24"/>
          <w:szCs w:val="24"/>
        </w:rPr>
        <w:t>directly impact upon all residents / businesses within the Borough</w:t>
      </w:r>
      <w:r w:rsidR="005B1E6D">
        <w:rPr>
          <w:rFonts w:ascii="Arial" w:hAnsi="Arial" w:cs="Arial"/>
          <w:sz w:val="24"/>
          <w:szCs w:val="24"/>
        </w:rPr>
        <w:t xml:space="preserve"> and </w:t>
      </w:r>
      <w:r w:rsidR="00B549A6">
        <w:rPr>
          <w:rFonts w:ascii="Arial" w:hAnsi="Arial" w:cs="Arial"/>
          <w:sz w:val="24"/>
          <w:szCs w:val="24"/>
        </w:rPr>
        <w:t>in the case of Benefits, residents in receipt of low incomes</w:t>
      </w:r>
      <w:r w:rsidR="005B1E6D">
        <w:rPr>
          <w:rFonts w:ascii="Arial" w:hAnsi="Arial" w:cs="Arial"/>
          <w:sz w:val="24"/>
          <w:szCs w:val="24"/>
        </w:rPr>
        <w:t xml:space="preserve"> are supported through the award of permitted </w:t>
      </w:r>
      <w:r w:rsidR="00B549A6">
        <w:rPr>
          <w:rFonts w:ascii="Arial" w:hAnsi="Arial" w:cs="Arial"/>
          <w:sz w:val="24"/>
          <w:szCs w:val="24"/>
        </w:rPr>
        <w:t xml:space="preserve">financial support </w:t>
      </w:r>
      <w:r w:rsidR="005B1E6D">
        <w:rPr>
          <w:rFonts w:ascii="Arial" w:hAnsi="Arial" w:cs="Arial"/>
          <w:sz w:val="24"/>
          <w:szCs w:val="24"/>
        </w:rPr>
        <w:t xml:space="preserve">towards </w:t>
      </w:r>
      <w:r w:rsidR="00B549A6">
        <w:rPr>
          <w:rFonts w:ascii="Arial" w:hAnsi="Arial" w:cs="Arial"/>
          <w:sz w:val="24"/>
          <w:szCs w:val="24"/>
        </w:rPr>
        <w:t>rent and Council Tax</w:t>
      </w:r>
      <w:r w:rsidR="005B1E6D">
        <w:rPr>
          <w:rFonts w:ascii="Arial" w:hAnsi="Arial" w:cs="Arial"/>
          <w:sz w:val="24"/>
          <w:szCs w:val="24"/>
        </w:rPr>
        <w:t xml:space="preserve"> payments. </w:t>
      </w:r>
      <w:r w:rsidRPr="00B549A6">
        <w:rPr>
          <w:rFonts w:ascii="Arial" w:hAnsi="Arial" w:cs="Arial"/>
          <w:sz w:val="24"/>
          <w:szCs w:val="24"/>
        </w:rPr>
        <w:t xml:space="preserve"> </w:t>
      </w:r>
    </w:p>
    <w:p w14:paraId="008C5B92" w14:textId="41C85877" w:rsidR="00E86B05" w:rsidRPr="00B549A6" w:rsidRDefault="00E86B05" w:rsidP="0044606D">
      <w:pPr>
        <w:ind w:firstLine="720"/>
        <w:jc w:val="both"/>
        <w:rPr>
          <w:rFonts w:ascii="Arial" w:hAnsi="Arial" w:cs="Arial"/>
          <w:sz w:val="24"/>
          <w:szCs w:val="24"/>
        </w:rPr>
      </w:pPr>
      <w:r w:rsidRPr="00B549A6">
        <w:rPr>
          <w:rFonts w:ascii="Arial" w:hAnsi="Arial" w:cs="Arial"/>
          <w:sz w:val="24"/>
          <w:szCs w:val="24"/>
        </w:rPr>
        <w:t xml:space="preserve">1. A </w:t>
      </w:r>
      <w:r w:rsidR="005B1E6D">
        <w:rPr>
          <w:rFonts w:ascii="Arial" w:hAnsi="Arial" w:cs="Arial"/>
          <w:sz w:val="24"/>
          <w:szCs w:val="24"/>
        </w:rPr>
        <w:t>C</w:t>
      </w:r>
      <w:r w:rsidRPr="00B549A6">
        <w:rPr>
          <w:rFonts w:ascii="Arial" w:hAnsi="Arial" w:cs="Arial"/>
          <w:sz w:val="24"/>
          <w:szCs w:val="24"/>
        </w:rPr>
        <w:t>ouncil that puts residents first</w:t>
      </w:r>
      <w:r w:rsidR="005B1E6D">
        <w:rPr>
          <w:rFonts w:ascii="Arial" w:hAnsi="Arial" w:cs="Arial"/>
          <w:sz w:val="24"/>
          <w:szCs w:val="24"/>
        </w:rPr>
        <w:t>.</w:t>
      </w:r>
    </w:p>
    <w:p w14:paraId="23A191D5" w14:textId="1D407C0F" w:rsidR="00E86B05" w:rsidRPr="00B549A6" w:rsidRDefault="00E86B05" w:rsidP="0044606D">
      <w:pPr>
        <w:ind w:firstLine="720"/>
        <w:jc w:val="both"/>
        <w:rPr>
          <w:rFonts w:ascii="Arial" w:hAnsi="Arial" w:cs="Arial"/>
          <w:sz w:val="24"/>
          <w:szCs w:val="24"/>
        </w:rPr>
      </w:pPr>
      <w:r w:rsidRPr="00B549A6">
        <w:rPr>
          <w:rFonts w:ascii="Arial" w:hAnsi="Arial" w:cs="Arial"/>
          <w:sz w:val="24"/>
          <w:szCs w:val="24"/>
        </w:rPr>
        <w:t xml:space="preserve">2. A </w:t>
      </w:r>
      <w:r w:rsidR="005B1E6D">
        <w:rPr>
          <w:rFonts w:ascii="Arial" w:hAnsi="Arial" w:cs="Arial"/>
          <w:sz w:val="24"/>
          <w:szCs w:val="24"/>
        </w:rPr>
        <w:t>B</w:t>
      </w:r>
      <w:r w:rsidRPr="00B549A6">
        <w:rPr>
          <w:rFonts w:ascii="Arial" w:hAnsi="Arial" w:cs="Arial"/>
          <w:sz w:val="24"/>
          <w:szCs w:val="24"/>
        </w:rPr>
        <w:t>orough that is clean and safe</w:t>
      </w:r>
      <w:r w:rsidR="005B1E6D">
        <w:rPr>
          <w:rFonts w:ascii="Arial" w:hAnsi="Arial" w:cs="Arial"/>
          <w:sz w:val="24"/>
          <w:szCs w:val="24"/>
        </w:rPr>
        <w:t>.</w:t>
      </w:r>
    </w:p>
    <w:p w14:paraId="08646F27" w14:textId="7275057B" w:rsidR="00E86B05" w:rsidRPr="00B549A6" w:rsidRDefault="00E86B05" w:rsidP="0044606D">
      <w:pPr>
        <w:ind w:firstLine="720"/>
        <w:jc w:val="both"/>
        <w:rPr>
          <w:rFonts w:ascii="Arial" w:hAnsi="Arial" w:cs="Arial"/>
          <w:sz w:val="24"/>
          <w:szCs w:val="24"/>
        </w:rPr>
      </w:pPr>
      <w:r w:rsidRPr="00B549A6">
        <w:rPr>
          <w:rFonts w:ascii="Arial" w:hAnsi="Arial" w:cs="Arial"/>
          <w:sz w:val="24"/>
          <w:szCs w:val="24"/>
        </w:rPr>
        <w:t>3. A place where those in need are supported</w:t>
      </w:r>
      <w:r w:rsidR="005B1E6D">
        <w:rPr>
          <w:rFonts w:ascii="Arial" w:hAnsi="Arial" w:cs="Arial"/>
          <w:sz w:val="24"/>
          <w:szCs w:val="24"/>
        </w:rPr>
        <w:t>.</w:t>
      </w:r>
    </w:p>
    <w:p w14:paraId="5F934D79" w14:textId="5F718DC3" w:rsidR="00EA4FCA" w:rsidRDefault="00244D72" w:rsidP="00EA4FCA">
      <w:pPr>
        <w:pStyle w:val="Heading1"/>
        <w:keepNext/>
      </w:pPr>
      <w:r>
        <w:t>Section 3 - Statutory Officer Clearance</w:t>
      </w:r>
    </w:p>
    <w:p w14:paraId="356F696E" w14:textId="77777777" w:rsidR="00EA4FCA" w:rsidRPr="00EA4FCA" w:rsidRDefault="00EA4FCA" w:rsidP="00EA4FCA">
      <w:pPr>
        <w:spacing w:after="0"/>
      </w:pPr>
    </w:p>
    <w:p w14:paraId="5678F59D" w14:textId="38458F32"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Statutory Officer: Sharon Daniels</w:t>
      </w:r>
    </w:p>
    <w:p w14:paraId="79736C49" w14:textId="77777777"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Signed off by the Chief Financial Officer</w:t>
      </w:r>
    </w:p>
    <w:p w14:paraId="270A44A1" w14:textId="5487F0A9" w:rsidR="00244D72" w:rsidRDefault="00244D72" w:rsidP="00EA4FCA">
      <w:pPr>
        <w:spacing w:after="0"/>
        <w:rPr>
          <w:rFonts w:ascii="Arial" w:hAnsi="Arial" w:cs="Arial"/>
          <w:sz w:val="24"/>
          <w:szCs w:val="24"/>
        </w:rPr>
      </w:pPr>
      <w:r w:rsidRPr="006678B1">
        <w:rPr>
          <w:rFonts w:ascii="Arial" w:hAnsi="Arial" w:cs="Arial"/>
          <w:sz w:val="24"/>
          <w:szCs w:val="24"/>
        </w:rPr>
        <w:t xml:space="preserve">Date: </w:t>
      </w:r>
      <w:r w:rsidR="00F2267F">
        <w:rPr>
          <w:rFonts w:ascii="Arial" w:hAnsi="Arial" w:cs="Arial"/>
          <w:sz w:val="24"/>
          <w:szCs w:val="24"/>
        </w:rPr>
        <w:t>05 March</w:t>
      </w:r>
      <w:r w:rsidRPr="006678B1">
        <w:rPr>
          <w:rFonts w:ascii="Arial" w:hAnsi="Arial" w:cs="Arial"/>
          <w:sz w:val="24"/>
          <w:szCs w:val="24"/>
        </w:rPr>
        <w:t xml:space="preserve"> 2024</w:t>
      </w:r>
    </w:p>
    <w:p w14:paraId="719869E9" w14:textId="77777777" w:rsidR="00EA4FCA" w:rsidRPr="006678B1" w:rsidRDefault="00EA4FCA" w:rsidP="00EA4FCA">
      <w:pPr>
        <w:spacing w:after="0"/>
        <w:rPr>
          <w:rFonts w:ascii="Arial" w:hAnsi="Arial" w:cs="Arial"/>
          <w:sz w:val="24"/>
          <w:szCs w:val="24"/>
        </w:rPr>
      </w:pPr>
    </w:p>
    <w:p w14:paraId="4FF79108" w14:textId="6963F67C"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 xml:space="preserve">Statutory Officer: </w:t>
      </w:r>
      <w:r w:rsidR="00061668">
        <w:rPr>
          <w:rFonts w:ascii="Arial" w:hAnsi="Arial" w:cs="Arial"/>
          <w:b/>
          <w:bCs/>
          <w:sz w:val="24"/>
          <w:szCs w:val="24"/>
        </w:rPr>
        <w:t xml:space="preserve">Melissa Trichard </w:t>
      </w:r>
    </w:p>
    <w:p w14:paraId="6783B0C0" w14:textId="77777777"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Signed on behalf of the Monitoring Officer</w:t>
      </w:r>
    </w:p>
    <w:p w14:paraId="7BE2C3F5" w14:textId="3AC106C5" w:rsidR="00244D72" w:rsidRDefault="00244D72" w:rsidP="00EA4FCA">
      <w:pPr>
        <w:spacing w:after="0"/>
        <w:rPr>
          <w:rFonts w:ascii="Arial" w:hAnsi="Arial" w:cs="Arial"/>
          <w:sz w:val="24"/>
          <w:szCs w:val="24"/>
        </w:rPr>
      </w:pPr>
      <w:r w:rsidRPr="006678B1">
        <w:rPr>
          <w:rFonts w:ascii="Arial" w:hAnsi="Arial" w:cs="Arial"/>
          <w:sz w:val="24"/>
          <w:szCs w:val="24"/>
        </w:rPr>
        <w:t xml:space="preserve">Date: </w:t>
      </w:r>
      <w:r w:rsidR="00C638EF">
        <w:rPr>
          <w:rFonts w:ascii="Arial" w:hAnsi="Arial" w:cs="Arial"/>
          <w:sz w:val="24"/>
          <w:szCs w:val="24"/>
        </w:rPr>
        <w:t>16</w:t>
      </w:r>
      <w:r w:rsidRPr="006678B1">
        <w:rPr>
          <w:rFonts w:ascii="Arial" w:hAnsi="Arial" w:cs="Arial"/>
          <w:sz w:val="24"/>
          <w:szCs w:val="24"/>
        </w:rPr>
        <w:t xml:space="preserve"> February 2024</w:t>
      </w:r>
    </w:p>
    <w:p w14:paraId="5D91633E" w14:textId="77777777" w:rsidR="00EA4FCA" w:rsidRPr="006678B1" w:rsidRDefault="00EA4FCA" w:rsidP="00EA4FCA">
      <w:pPr>
        <w:spacing w:after="0"/>
        <w:rPr>
          <w:rFonts w:ascii="Arial" w:hAnsi="Arial" w:cs="Arial"/>
          <w:sz w:val="24"/>
          <w:szCs w:val="24"/>
        </w:rPr>
      </w:pPr>
    </w:p>
    <w:p w14:paraId="45847C00" w14:textId="77777777"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Chief Officer: Sharon Daniels</w:t>
      </w:r>
    </w:p>
    <w:p w14:paraId="0695D85B" w14:textId="2BF4D08F"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Signed off by the Interim Director</w:t>
      </w:r>
    </w:p>
    <w:p w14:paraId="4CE3B732" w14:textId="69F1CB20" w:rsidR="003B3B1F" w:rsidRDefault="00244D72" w:rsidP="00EA4FCA">
      <w:pPr>
        <w:spacing w:after="0"/>
        <w:rPr>
          <w:rFonts w:ascii="Arial" w:hAnsi="Arial" w:cs="Arial"/>
          <w:sz w:val="24"/>
          <w:szCs w:val="24"/>
        </w:rPr>
      </w:pPr>
      <w:r w:rsidRPr="006678B1">
        <w:rPr>
          <w:rFonts w:ascii="Arial" w:hAnsi="Arial" w:cs="Arial"/>
          <w:sz w:val="24"/>
          <w:szCs w:val="24"/>
        </w:rPr>
        <w:t xml:space="preserve">Date: </w:t>
      </w:r>
      <w:r w:rsidR="00565BA9">
        <w:rPr>
          <w:rFonts w:ascii="Arial" w:hAnsi="Arial" w:cs="Arial"/>
          <w:sz w:val="24"/>
          <w:szCs w:val="24"/>
        </w:rPr>
        <w:t>16</w:t>
      </w:r>
      <w:r w:rsidRPr="006678B1">
        <w:rPr>
          <w:rFonts w:ascii="Arial" w:hAnsi="Arial" w:cs="Arial"/>
          <w:sz w:val="24"/>
          <w:szCs w:val="24"/>
        </w:rPr>
        <w:t xml:space="preserve"> February 2024</w:t>
      </w:r>
    </w:p>
    <w:p w14:paraId="364134F4" w14:textId="77777777" w:rsidR="00EA4FCA" w:rsidRPr="006678B1" w:rsidRDefault="00EA4FCA" w:rsidP="00EA4FCA">
      <w:pPr>
        <w:spacing w:after="0"/>
        <w:rPr>
          <w:rFonts w:ascii="Arial" w:hAnsi="Arial" w:cs="Arial"/>
          <w:sz w:val="24"/>
          <w:szCs w:val="24"/>
        </w:rPr>
      </w:pPr>
    </w:p>
    <w:p w14:paraId="45374C4D" w14:textId="423EA248"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Head of Procurement: Nimesh Mehta</w:t>
      </w:r>
    </w:p>
    <w:p w14:paraId="757705CE" w14:textId="06461B47"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Signed by the Head of Procurement</w:t>
      </w:r>
    </w:p>
    <w:p w14:paraId="0DB0277E" w14:textId="4A912BF7" w:rsidR="009A3DC5" w:rsidRDefault="00244D72" w:rsidP="00EA4FCA">
      <w:pPr>
        <w:spacing w:after="0"/>
        <w:rPr>
          <w:rFonts w:ascii="Arial" w:hAnsi="Arial" w:cs="Arial"/>
          <w:sz w:val="24"/>
          <w:szCs w:val="24"/>
        </w:rPr>
      </w:pPr>
      <w:r w:rsidRPr="006678B1">
        <w:rPr>
          <w:rFonts w:ascii="Arial" w:hAnsi="Arial" w:cs="Arial"/>
          <w:sz w:val="24"/>
          <w:szCs w:val="24"/>
        </w:rPr>
        <w:t xml:space="preserve">Date: </w:t>
      </w:r>
      <w:r w:rsidR="00565BA9">
        <w:rPr>
          <w:rFonts w:ascii="Arial" w:hAnsi="Arial" w:cs="Arial"/>
          <w:sz w:val="24"/>
          <w:szCs w:val="24"/>
        </w:rPr>
        <w:t>05</w:t>
      </w:r>
      <w:r w:rsidRPr="006678B1">
        <w:rPr>
          <w:rFonts w:ascii="Arial" w:hAnsi="Arial" w:cs="Arial"/>
          <w:sz w:val="24"/>
          <w:szCs w:val="24"/>
        </w:rPr>
        <w:t xml:space="preserve"> February 2024</w:t>
      </w:r>
    </w:p>
    <w:p w14:paraId="2E6EF9BE" w14:textId="77777777" w:rsidR="00EA4FCA" w:rsidRPr="006678B1" w:rsidRDefault="00EA4FCA" w:rsidP="00EA4FCA">
      <w:pPr>
        <w:spacing w:after="0"/>
        <w:rPr>
          <w:rFonts w:ascii="Arial" w:hAnsi="Arial" w:cs="Arial"/>
          <w:sz w:val="24"/>
          <w:szCs w:val="24"/>
        </w:rPr>
      </w:pPr>
    </w:p>
    <w:p w14:paraId="39A98AB3" w14:textId="77777777"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Head of Internal Audit: Neale Burns</w:t>
      </w:r>
    </w:p>
    <w:p w14:paraId="383AD8AF" w14:textId="77777777" w:rsidR="00244D72" w:rsidRPr="006678B1" w:rsidRDefault="00244D72" w:rsidP="00EA4FCA">
      <w:pPr>
        <w:spacing w:after="0"/>
        <w:rPr>
          <w:rFonts w:ascii="Arial" w:hAnsi="Arial" w:cs="Arial"/>
          <w:b/>
          <w:bCs/>
          <w:sz w:val="24"/>
          <w:szCs w:val="24"/>
        </w:rPr>
      </w:pPr>
      <w:r w:rsidRPr="006678B1">
        <w:rPr>
          <w:rFonts w:ascii="Arial" w:hAnsi="Arial" w:cs="Arial"/>
          <w:b/>
          <w:bCs/>
          <w:sz w:val="24"/>
          <w:szCs w:val="24"/>
        </w:rPr>
        <w:t>Signed on behalf of the Interim Head of Internal Audit</w:t>
      </w:r>
    </w:p>
    <w:p w14:paraId="1AE5A2BC" w14:textId="179F077A" w:rsidR="00EA4FCA" w:rsidRDefault="00244D72" w:rsidP="00EA4FCA">
      <w:pPr>
        <w:spacing w:after="0"/>
        <w:rPr>
          <w:rFonts w:ascii="Arial" w:hAnsi="Arial" w:cs="Arial"/>
          <w:sz w:val="24"/>
          <w:szCs w:val="24"/>
        </w:rPr>
      </w:pPr>
      <w:r w:rsidRPr="006678B1">
        <w:rPr>
          <w:rFonts w:ascii="Arial" w:hAnsi="Arial" w:cs="Arial"/>
          <w:sz w:val="24"/>
          <w:szCs w:val="24"/>
        </w:rPr>
        <w:t xml:space="preserve">Date: </w:t>
      </w:r>
      <w:r w:rsidR="00565BA9">
        <w:rPr>
          <w:rFonts w:ascii="Arial" w:hAnsi="Arial" w:cs="Arial"/>
          <w:sz w:val="24"/>
          <w:szCs w:val="24"/>
        </w:rPr>
        <w:t>15</w:t>
      </w:r>
      <w:r w:rsidRPr="006678B1">
        <w:rPr>
          <w:rFonts w:ascii="Arial" w:hAnsi="Arial" w:cs="Arial"/>
          <w:sz w:val="24"/>
          <w:szCs w:val="24"/>
        </w:rPr>
        <w:t xml:space="preserve"> February 2024</w:t>
      </w:r>
    </w:p>
    <w:p w14:paraId="104B63DD" w14:textId="43AA8B69" w:rsidR="00EA4FCA" w:rsidRDefault="00EA4FCA" w:rsidP="00EA4FCA">
      <w:pPr>
        <w:spacing w:after="0"/>
        <w:rPr>
          <w:rFonts w:ascii="Calibri" w:eastAsia="Calibri" w:hAnsi="Calibri" w:cs="Calibri"/>
          <w:b/>
          <w:bCs/>
          <w:sz w:val="28"/>
          <w:lang w:eastAsia="en-GB"/>
        </w:rPr>
      </w:pPr>
      <w:r w:rsidRPr="00D34286">
        <w:rPr>
          <w:rFonts w:ascii="Calibri" w:eastAsia="Calibri" w:hAnsi="Calibri" w:cs="Calibri"/>
          <w:b/>
          <w:bCs/>
          <w:sz w:val="28"/>
          <w:lang w:eastAsia="en-GB"/>
        </w:rPr>
        <w:t xml:space="preserve">Has the Portfolio Holder(s) been consulted?  Yes </w:t>
      </w:r>
      <w:sdt>
        <w:sdtPr>
          <w:rPr>
            <w:rFonts w:ascii="Calibri" w:eastAsia="Calibri" w:hAnsi="Calibri" w:cs="Calibri"/>
            <w:b/>
            <w:bCs/>
            <w:sz w:val="28"/>
            <w:lang w:eastAsia="en-GB"/>
          </w:rPr>
          <w:id w:val="1315684857"/>
          <w14:checkbox>
            <w14:checked w14:val="1"/>
            <w14:checkedState w14:val="2612" w14:font="MS Gothic"/>
            <w14:uncheckedState w14:val="2610" w14:font="MS Gothic"/>
          </w14:checkbox>
        </w:sdtPr>
        <w:sdtContent>
          <w:r w:rsidRPr="00D34286">
            <w:rPr>
              <w:rFonts w:ascii="Segoe UI Symbol" w:eastAsia="Calibri" w:hAnsi="Segoe UI Symbol" w:cs="Segoe UI Symbol"/>
              <w:b/>
              <w:bCs/>
              <w:sz w:val="28"/>
              <w:lang w:eastAsia="en-GB"/>
            </w:rPr>
            <w:t>☒</w:t>
          </w:r>
        </w:sdtContent>
      </w:sdt>
      <w:r w:rsidRPr="00D34286">
        <w:rPr>
          <w:rFonts w:ascii="Calibri" w:eastAsia="Calibri" w:hAnsi="Calibri" w:cs="Calibri"/>
          <w:b/>
          <w:bCs/>
          <w:sz w:val="28"/>
          <w:lang w:eastAsia="en-GB"/>
        </w:rPr>
        <w:t xml:space="preserve">    </w:t>
      </w:r>
    </w:p>
    <w:p w14:paraId="7F109D6D" w14:textId="77777777" w:rsidR="00040B04" w:rsidRDefault="00040B04" w:rsidP="00EA4FCA">
      <w:pPr>
        <w:spacing w:after="0"/>
        <w:rPr>
          <w:rFonts w:ascii="Calibri" w:eastAsia="Calibri" w:hAnsi="Calibri" w:cs="Calibri"/>
          <w:b/>
          <w:bCs/>
          <w:sz w:val="28"/>
          <w:lang w:eastAsia="en-GB"/>
        </w:rPr>
      </w:pPr>
    </w:p>
    <w:p w14:paraId="77E78CED" w14:textId="77777777" w:rsidR="00040B04" w:rsidRDefault="00040B04" w:rsidP="00EA4FCA">
      <w:pPr>
        <w:spacing w:after="0"/>
        <w:rPr>
          <w:rFonts w:ascii="Calibri" w:eastAsia="Calibri" w:hAnsi="Calibri" w:cs="Calibri"/>
          <w:b/>
          <w:bCs/>
          <w:sz w:val="28"/>
          <w:lang w:eastAsia="en-GB"/>
        </w:rPr>
      </w:pPr>
    </w:p>
    <w:p w14:paraId="3A931A7B" w14:textId="77777777" w:rsidR="00040B04" w:rsidRDefault="00040B04" w:rsidP="00EA4FCA">
      <w:pPr>
        <w:spacing w:after="0"/>
        <w:rPr>
          <w:rFonts w:ascii="Calibri" w:eastAsia="Calibri" w:hAnsi="Calibri" w:cs="Calibri"/>
          <w:b/>
          <w:bCs/>
          <w:sz w:val="28"/>
          <w:lang w:eastAsia="en-GB"/>
        </w:rPr>
      </w:pPr>
    </w:p>
    <w:p w14:paraId="17FF16EF" w14:textId="77777777" w:rsidR="00040B04" w:rsidRPr="00EA4FCA" w:rsidRDefault="00040B04" w:rsidP="00EA4FCA">
      <w:pPr>
        <w:spacing w:after="0"/>
      </w:pPr>
    </w:p>
    <w:p w14:paraId="02650EDC" w14:textId="77777777" w:rsidR="00244D72" w:rsidRPr="00435B5D" w:rsidRDefault="00244D72" w:rsidP="00244D72">
      <w:pPr>
        <w:pStyle w:val="Heading2"/>
        <w:spacing w:before="480" w:after="240"/>
      </w:pPr>
      <w:r>
        <w:lastRenderedPageBreak/>
        <w:t>Mandatory Checks</w:t>
      </w:r>
    </w:p>
    <w:p w14:paraId="20F0D45A" w14:textId="77777777" w:rsidR="00244D72" w:rsidRPr="00A406F3" w:rsidRDefault="00244D72" w:rsidP="00244D72">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20F4853" w14:textId="39550C1E" w:rsidR="00244D72" w:rsidRPr="00202D79" w:rsidRDefault="00244D72" w:rsidP="00244D72">
      <w:pPr>
        <w:pStyle w:val="Heading3"/>
        <w:spacing w:before="240"/>
        <w:rPr>
          <w:b w:val="0"/>
        </w:rPr>
      </w:pPr>
      <w:proofErr w:type="spellStart"/>
      <w:r w:rsidRPr="00202D79">
        <w:t>EqIA</w:t>
      </w:r>
      <w:proofErr w:type="spellEnd"/>
      <w:r w:rsidRPr="00202D79">
        <w:t xml:space="preserve"> carried out:</w:t>
      </w:r>
      <w:r>
        <w:t xml:space="preserve">  </w:t>
      </w:r>
      <w:r w:rsidR="001149F6">
        <w:t>Yes</w:t>
      </w:r>
    </w:p>
    <w:p w14:paraId="1721C316" w14:textId="7030E00C" w:rsidR="00661308" w:rsidRDefault="00244D72" w:rsidP="00F2267F">
      <w:pPr>
        <w:pStyle w:val="Heading3"/>
        <w:spacing w:before="240"/>
        <w:jc w:val="left"/>
      </w:pPr>
      <w:proofErr w:type="spellStart"/>
      <w:r w:rsidRPr="00202D79">
        <w:t>EqIA</w:t>
      </w:r>
      <w:proofErr w:type="spellEnd"/>
      <w:r w:rsidRPr="00202D79">
        <w:t xml:space="preserve"> cleared by:</w:t>
      </w:r>
      <w:r>
        <w:t xml:space="preserve">  </w:t>
      </w:r>
      <w:r w:rsidR="00F2267F">
        <w:t>Jennifer Rock</w:t>
      </w:r>
    </w:p>
    <w:p w14:paraId="6954898F" w14:textId="77777777" w:rsidR="00F2267F" w:rsidRPr="00F2267F" w:rsidRDefault="00F2267F" w:rsidP="00F2267F"/>
    <w:p w14:paraId="6F3DE8E1" w14:textId="697A6280" w:rsidR="00244D72" w:rsidRDefault="00244D72" w:rsidP="00244D72">
      <w:pPr>
        <w:pStyle w:val="Heading1"/>
        <w:keepNext/>
      </w:pPr>
      <w:r>
        <w:t>Section 4 - Contact Details and Background Papers</w:t>
      </w:r>
    </w:p>
    <w:p w14:paraId="095CCA2C" w14:textId="77777777" w:rsidR="00244D72" w:rsidRPr="00244D72" w:rsidRDefault="00244D72" w:rsidP="00244D72">
      <w:pPr>
        <w:tabs>
          <w:tab w:val="left" w:pos="1418"/>
          <w:tab w:val="left" w:pos="1560"/>
          <w:tab w:val="left" w:pos="7106"/>
          <w:tab w:val="left" w:pos="8976"/>
        </w:tabs>
        <w:ind w:right="257"/>
        <w:rPr>
          <w:rFonts w:ascii="Arial" w:hAnsi="Arial" w:cs="Arial"/>
          <w:b/>
          <w:sz w:val="28"/>
        </w:rPr>
      </w:pPr>
      <w:r w:rsidRPr="00244D72">
        <w:rPr>
          <w:rFonts w:ascii="Arial" w:hAnsi="Arial" w:cs="Arial"/>
          <w:b/>
          <w:sz w:val="28"/>
        </w:rPr>
        <w:t xml:space="preserve">Contact:  </w:t>
      </w:r>
    </w:p>
    <w:p w14:paraId="47C49D33" w14:textId="77777777" w:rsidR="00244D72" w:rsidRPr="00244D72" w:rsidRDefault="00244D72" w:rsidP="00E7625C">
      <w:pPr>
        <w:keepNext/>
        <w:rPr>
          <w:rFonts w:ascii="Arial" w:hAnsi="Arial" w:cs="Arial"/>
          <w:sz w:val="24"/>
          <w:szCs w:val="24"/>
        </w:rPr>
      </w:pPr>
      <w:r w:rsidRPr="00244D72">
        <w:rPr>
          <w:rFonts w:ascii="Arial" w:hAnsi="Arial" w:cs="Arial"/>
          <w:sz w:val="24"/>
          <w:szCs w:val="24"/>
        </w:rPr>
        <w:t>Fern Silverio (Head of Service – Collections &amp; Housing Benefits),</w:t>
      </w:r>
    </w:p>
    <w:p w14:paraId="5CCF959A" w14:textId="77777777" w:rsidR="00244D72" w:rsidRPr="00244D72" w:rsidRDefault="00244D72" w:rsidP="00E7625C">
      <w:pPr>
        <w:keepNext/>
        <w:rPr>
          <w:rFonts w:ascii="Arial" w:hAnsi="Arial" w:cs="Arial"/>
          <w:sz w:val="24"/>
          <w:szCs w:val="24"/>
          <w:lang w:val="fr-FR"/>
        </w:rPr>
      </w:pPr>
      <w:r w:rsidRPr="00244D72">
        <w:rPr>
          <w:rFonts w:ascii="Arial" w:hAnsi="Arial" w:cs="Arial"/>
          <w:sz w:val="24"/>
          <w:szCs w:val="24"/>
          <w:lang w:val="fr-FR"/>
        </w:rPr>
        <w:t xml:space="preserve">Tel: 020-8736-6818 / email: </w:t>
      </w:r>
      <w:hyperlink r:id="rId8" w:history="1">
        <w:r w:rsidRPr="00244D72">
          <w:rPr>
            <w:rFonts w:ascii="Arial" w:hAnsi="Arial" w:cs="Arial"/>
            <w:color w:val="0000FF"/>
            <w:sz w:val="24"/>
            <w:szCs w:val="24"/>
            <w:u w:val="single"/>
            <w:lang w:val="fr-FR"/>
          </w:rPr>
          <w:t>fern.silverio@harrow.gov.uk</w:t>
        </w:r>
      </w:hyperlink>
    </w:p>
    <w:p w14:paraId="22AB1A40" w14:textId="77777777" w:rsidR="00244D72" w:rsidRPr="00244D72" w:rsidRDefault="00244D72" w:rsidP="00244D72">
      <w:pPr>
        <w:pStyle w:val="Infotext"/>
        <w:rPr>
          <w:rFonts w:cs="Arial"/>
          <w:b/>
          <w:sz w:val="24"/>
          <w:szCs w:val="24"/>
          <w:lang w:val="fr-FR"/>
        </w:rPr>
      </w:pPr>
    </w:p>
    <w:p w14:paraId="191AD2E8" w14:textId="77777777" w:rsidR="00244D72" w:rsidRPr="00244D72" w:rsidRDefault="00244D72" w:rsidP="00244D72">
      <w:pPr>
        <w:rPr>
          <w:rFonts w:ascii="Arial" w:hAnsi="Arial" w:cs="Arial"/>
          <w:color w:val="FF0000"/>
          <w:sz w:val="28"/>
        </w:rPr>
      </w:pPr>
      <w:r w:rsidRPr="00244D72">
        <w:rPr>
          <w:rFonts w:ascii="Arial" w:hAnsi="Arial" w:cs="Arial"/>
          <w:b/>
          <w:sz w:val="28"/>
        </w:rPr>
        <w:t xml:space="preserve">Background Papers:  </w:t>
      </w:r>
    </w:p>
    <w:p w14:paraId="3B587C8D" w14:textId="5E0EFEED" w:rsidR="00244D72" w:rsidRDefault="00E7625C" w:rsidP="00C60E2E">
      <w:pPr>
        <w:numPr>
          <w:ilvl w:val="0"/>
          <w:numId w:val="5"/>
        </w:numPr>
        <w:tabs>
          <w:tab w:val="left" w:pos="8976"/>
        </w:tabs>
        <w:spacing w:after="0" w:line="240" w:lineRule="auto"/>
        <w:ind w:right="257"/>
        <w:rPr>
          <w:rFonts w:ascii="Arial" w:hAnsi="Arial" w:cs="Arial"/>
          <w:sz w:val="24"/>
          <w:szCs w:val="24"/>
        </w:rPr>
      </w:pPr>
      <w:r>
        <w:rPr>
          <w:rFonts w:ascii="Arial" w:hAnsi="Arial" w:cs="Arial"/>
          <w:sz w:val="24"/>
          <w:szCs w:val="24"/>
        </w:rPr>
        <w:t xml:space="preserve">Equalities Impact Assessment </w:t>
      </w:r>
    </w:p>
    <w:p w14:paraId="617EC856" w14:textId="1DC1F506" w:rsidR="00D72617" w:rsidRPr="00CE39D6" w:rsidRDefault="007C4A96" w:rsidP="00C60E2E">
      <w:pPr>
        <w:numPr>
          <w:ilvl w:val="0"/>
          <w:numId w:val="5"/>
        </w:numPr>
        <w:tabs>
          <w:tab w:val="left" w:pos="8976"/>
        </w:tabs>
        <w:spacing w:after="0" w:line="240" w:lineRule="auto"/>
        <w:ind w:right="257"/>
        <w:rPr>
          <w:rFonts w:ascii="Arial" w:hAnsi="Arial" w:cs="Arial"/>
          <w:sz w:val="24"/>
          <w:szCs w:val="24"/>
        </w:rPr>
      </w:pPr>
      <w:r>
        <w:rPr>
          <w:rFonts w:ascii="Arial" w:hAnsi="Arial" w:cs="Arial"/>
          <w:sz w:val="24"/>
          <w:szCs w:val="24"/>
        </w:rPr>
        <w:t>S</w:t>
      </w:r>
      <w:r w:rsidR="00D72617">
        <w:rPr>
          <w:rFonts w:ascii="Arial" w:hAnsi="Arial" w:cs="Arial"/>
          <w:sz w:val="24"/>
          <w:szCs w:val="24"/>
        </w:rPr>
        <w:t xml:space="preserve">pecification documents – Exempt </w:t>
      </w:r>
    </w:p>
    <w:p w14:paraId="64330066" w14:textId="77777777" w:rsidR="00661308" w:rsidRDefault="00661308" w:rsidP="00244D72">
      <w:pPr>
        <w:pStyle w:val="Infotext"/>
        <w:rPr>
          <w:rFonts w:ascii="Arial Black" w:hAnsi="Arial Black"/>
        </w:rPr>
      </w:pPr>
    </w:p>
    <w:p w14:paraId="745EA181" w14:textId="5C066C5D" w:rsidR="00244D72" w:rsidRDefault="00244D72" w:rsidP="00040B04">
      <w:pPr>
        <w:pStyle w:val="Infotext"/>
      </w:pPr>
      <w:r>
        <w:rPr>
          <w:rFonts w:ascii="Arial Black" w:hAnsi="Arial Black"/>
        </w:rPr>
        <w:t>Call-in w</w:t>
      </w:r>
      <w:r w:rsidRPr="007C0DC3">
        <w:rPr>
          <w:rFonts w:ascii="Arial Black" w:hAnsi="Arial Black"/>
        </w:rPr>
        <w:t>aived by the Chair of Overview and Scrutiny Committee</w:t>
      </w:r>
      <w:r w:rsidR="00040B04">
        <w:rPr>
          <w:iCs/>
          <w:sz w:val="24"/>
          <w:szCs w:val="24"/>
        </w:rPr>
        <w:t xml:space="preserve">: </w:t>
      </w:r>
      <w:r w:rsidRPr="003D78F6">
        <w:rPr>
          <w:b/>
        </w:rPr>
        <w:t>NO</w:t>
      </w:r>
    </w:p>
    <w:p w14:paraId="4881089B" w14:textId="77777777" w:rsidR="00B50E31" w:rsidRPr="00241BC3" w:rsidRDefault="00B50E31" w:rsidP="00E86B05">
      <w:pPr>
        <w:rPr>
          <w:rFonts w:ascii="Arial" w:hAnsi="Arial" w:cs="Arial"/>
          <w:b/>
          <w:bCs/>
          <w:sz w:val="24"/>
          <w:szCs w:val="24"/>
        </w:rPr>
      </w:pPr>
    </w:p>
    <w:sectPr w:rsidR="00B50E31" w:rsidRPr="00241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0840" w14:textId="77777777" w:rsidR="00306596" w:rsidRDefault="00306596" w:rsidP="00683573">
      <w:pPr>
        <w:spacing w:after="0" w:line="240" w:lineRule="auto"/>
      </w:pPr>
      <w:r>
        <w:separator/>
      </w:r>
    </w:p>
  </w:endnote>
  <w:endnote w:type="continuationSeparator" w:id="0">
    <w:p w14:paraId="28096A5C" w14:textId="77777777" w:rsidR="00306596" w:rsidRDefault="00306596" w:rsidP="0068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681C" w14:textId="77777777" w:rsidR="00306596" w:rsidRDefault="00306596" w:rsidP="00683573">
      <w:pPr>
        <w:spacing w:after="0" w:line="240" w:lineRule="auto"/>
      </w:pPr>
      <w:r>
        <w:separator/>
      </w:r>
    </w:p>
  </w:footnote>
  <w:footnote w:type="continuationSeparator" w:id="0">
    <w:p w14:paraId="3DA36B13" w14:textId="77777777" w:rsidR="00306596" w:rsidRDefault="00306596" w:rsidP="00683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36A"/>
    <w:multiLevelType w:val="hybridMultilevel"/>
    <w:tmpl w:val="6570E2C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2242A"/>
    <w:multiLevelType w:val="hybridMultilevel"/>
    <w:tmpl w:val="A0BE44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3F70C1"/>
    <w:multiLevelType w:val="hybridMultilevel"/>
    <w:tmpl w:val="DF56A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90C35"/>
    <w:multiLevelType w:val="hybridMultilevel"/>
    <w:tmpl w:val="B6A8FBF8"/>
    <w:lvl w:ilvl="0" w:tplc="08090001">
      <w:start w:val="1"/>
      <w:numFmt w:val="bullet"/>
      <w:lvlText w:val=""/>
      <w:lvlJc w:val="left"/>
      <w:pPr>
        <w:ind w:left="3702" w:hanging="360"/>
      </w:pPr>
      <w:rPr>
        <w:rFonts w:ascii="Symbol" w:hAnsi="Symbol" w:hint="default"/>
      </w:rPr>
    </w:lvl>
    <w:lvl w:ilvl="1" w:tplc="FFFFFFFF" w:tentative="1">
      <w:start w:val="1"/>
      <w:numFmt w:val="lowerLetter"/>
      <w:lvlText w:val="%2."/>
      <w:lvlJc w:val="left"/>
      <w:pPr>
        <w:ind w:left="4422" w:hanging="360"/>
      </w:pPr>
    </w:lvl>
    <w:lvl w:ilvl="2" w:tplc="FFFFFFFF" w:tentative="1">
      <w:start w:val="1"/>
      <w:numFmt w:val="lowerRoman"/>
      <w:lvlText w:val="%3."/>
      <w:lvlJc w:val="right"/>
      <w:pPr>
        <w:ind w:left="5142" w:hanging="180"/>
      </w:pPr>
    </w:lvl>
    <w:lvl w:ilvl="3" w:tplc="FFFFFFFF" w:tentative="1">
      <w:start w:val="1"/>
      <w:numFmt w:val="decimal"/>
      <w:lvlText w:val="%4."/>
      <w:lvlJc w:val="left"/>
      <w:pPr>
        <w:ind w:left="5862" w:hanging="360"/>
      </w:pPr>
    </w:lvl>
    <w:lvl w:ilvl="4" w:tplc="FFFFFFFF" w:tentative="1">
      <w:start w:val="1"/>
      <w:numFmt w:val="lowerLetter"/>
      <w:lvlText w:val="%5."/>
      <w:lvlJc w:val="left"/>
      <w:pPr>
        <w:ind w:left="6582" w:hanging="360"/>
      </w:pPr>
    </w:lvl>
    <w:lvl w:ilvl="5" w:tplc="FFFFFFFF" w:tentative="1">
      <w:start w:val="1"/>
      <w:numFmt w:val="lowerRoman"/>
      <w:lvlText w:val="%6."/>
      <w:lvlJc w:val="right"/>
      <w:pPr>
        <w:ind w:left="7302" w:hanging="180"/>
      </w:pPr>
    </w:lvl>
    <w:lvl w:ilvl="6" w:tplc="FFFFFFFF" w:tentative="1">
      <w:start w:val="1"/>
      <w:numFmt w:val="decimal"/>
      <w:lvlText w:val="%7."/>
      <w:lvlJc w:val="left"/>
      <w:pPr>
        <w:ind w:left="8022" w:hanging="360"/>
      </w:pPr>
    </w:lvl>
    <w:lvl w:ilvl="7" w:tplc="FFFFFFFF" w:tentative="1">
      <w:start w:val="1"/>
      <w:numFmt w:val="lowerLetter"/>
      <w:lvlText w:val="%8."/>
      <w:lvlJc w:val="left"/>
      <w:pPr>
        <w:ind w:left="8742" w:hanging="360"/>
      </w:pPr>
    </w:lvl>
    <w:lvl w:ilvl="8" w:tplc="FFFFFFFF" w:tentative="1">
      <w:start w:val="1"/>
      <w:numFmt w:val="lowerRoman"/>
      <w:lvlText w:val="%9."/>
      <w:lvlJc w:val="right"/>
      <w:pPr>
        <w:ind w:left="9462" w:hanging="180"/>
      </w:pPr>
    </w:lvl>
  </w:abstractNum>
  <w:abstractNum w:abstractNumId="5" w15:restartNumberingAfterBreak="0">
    <w:nsid w:val="77FD73A1"/>
    <w:multiLevelType w:val="multilevel"/>
    <w:tmpl w:val="7F5EC554"/>
    <w:lvl w:ilvl="0">
      <w:start w:val="1"/>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7F1C2029"/>
    <w:multiLevelType w:val="hybridMultilevel"/>
    <w:tmpl w:val="1F6CDC1A"/>
    <w:lvl w:ilvl="0" w:tplc="C98A5EF8">
      <w:start w:val="4"/>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6228050">
    <w:abstractNumId w:val="0"/>
  </w:num>
  <w:num w:numId="2" w16cid:durableId="1269000504">
    <w:abstractNumId w:val="3"/>
  </w:num>
  <w:num w:numId="3" w16cid:durableId="2113016191">
    <w:abstractNumId w:val="4"/>
  </w:num>
  <w:num w:numId="4" w16cid:durableId="1539514179">
    <w:abstractNumId w:val="5"/>
  </w:num>
  <w:num w:numId="5" w16cid:durableId="960306677">
    <w:abstractNumId w:val="1"/>
  </w:num>
  <w:num w:numId="6" w16cid:durableId="1404912707">
    <w:abstractNumId w:val="6"/>
  </w:num>
  <w:num w:numId="7" w16cid:durableId="17361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2B"/>
    <w:rsid w:val="00010E3F"/>
    <w:rsid w:val="000114F7"/>
    <w:rsid w:val="00016F1F"/>
    <w:rsid w:val="000266E4"/>
    <w:rsid w:val="00040B04"/>
    <w:rsid w:val="00057302"/>
    <w:rsid w:val="00061668"/>
    <w:rsid w:val="00061C14"/>
    <w:rsid w:val="00074FFF"/>
    <w:rsid w:val="00081F96"/>
    <w:rsid w:val="000823BF"/>
    <w:rsid w:val="00091F7E"/>
    <w:rsid w:val="00092654"/>
    <w:rsid w:val="000954F4"/>
    <w:rsid w:val="00096FE8"/>
    <w:rsid w:val="00097249"/>
    <w:rsid w:val="000B31C5"/>
    <w:rsid w:val="000B3A17"/>
    <w:rsid w:val="000C029D"/>
    <w:rsid w:val="000C0A86"/>
    <w:rsid w:val="000C38FF"/>
    <w:rsid w:val="000E4381"/>
    <w:rsid w:val="000E652C"/>
    <w:rsid w:val="000F7136"/>
    <w:rsid w:val="00101CCD"/>
    <w:rsid w:val="00105BFE"/>
    <w:rsid w:val="001149F6"/>
    <w:rsid w:val="00116F26"/>
    <w:rsid w:val="00125574"/>
    <w:rsid w:val="00130012"/>
    <w:rsid w:val="001330FE"/>
    <w:rsid w:val="00142FC0"/>
    <w:rsid w:val="001564B3"/>
    <w:rsid w:val="001828BF"/>
    <w:rsid w:val="00182C4B"/>
    <w:rsid w:val="00193518"/>
    <w:rsid w:val="001B25CC"/>
    <w:rsid w:val="001C1FD7"/>
    <w:rsid w:val="001F58C5"/>
    <w:rsid w:val="00201BAE"/>
    <w:rsid w:val="00215E50"/>
    <w:rsid w:val="002167B7"/>
    <w:rsid w:val="00221E62"/>
    <w:rsid w:val="00224B11"/>
    <w:rsid w:val="00230C65"/>
    <w:rsid w:val="00231C9B"/>
    <w:rsid w:val="00241BC3"/>
    <w:rsid w:val="00244D72"/>
    <w:rsid w:val="00252F5E"/>
    <w:rsid w:val="002879AB"/>
    <w:rsid w:val="00287E34"/>
    <w:rsid w:val="002A7165"/>
    <w:rsid w:val="002B101A"/>
    <w:rsid w:val="002E01FB"/>
    <w:rsid w:val="002F45A7"/>
    <w:rsid w:val="002F77EB"/>
    <w:rsid w:val="00306596"/>
    <w:rsid w:val="0031367B"/>
    <w:rsid w:val="00327BBA"/>
    <w:rsid w:val="00330441"/>
    <w:rsid w:val="0033281B"/>
    <w:rsid w:val="0033700B"/>
    <w:rsid w:val="00342006"/>
    <w:rsid w:val="00346C58"/>
    <w:rsid w:val="00361243"/>
    <w:rsid w:val="00366AE1"/>
    <w:rsid w:val="00372572"/>
    <w:rsid w:val="00372732"/>
    <w:rsid w:val="00373072"/>
    <w:rsid w:val="00383988"/>
    <w:rsid w:val="00385AE0"/>
    <w:rsid w:val="00385AF7"/>
    <w:rsid w:val="003868D0"/>
    <w:rsid w:val="00397674"/>
    <w:rsid w:val="003A4828"/>
    <w:rsid w:val="003B3B1F"/>
    <w:rsid w:val="003B3FBA"/>
    <w:rsid w:val="003F546F"/>
    <w:rsid w:val="00405FDE"/>
    <w:rsid w:val="004212DF"/>
    <w:rsid w:val="00422997"/>
    <w:rsid w:val="00424562"/>
    <w:rsid w:val="00426CFC"/>
    <w:rsid w:val="004347CD"/>
    <w:rsid w:val="004454E1"/>
    <w:rsid w:val="0044606D"/>
    <w:rsid w:val="004561C5"/>
    <w:rsid w:val="004704F2"/>
    <w:rsid w:val="00473B34"/>
    <w:rsid w:val="004740B6"/>
    <w:rsid w:val="004849CD"/>
    <w:rsid w:val="004A31DB"/>
    <w:rsid w:val="004D065E"/>
    <w:rsid w:val="004D25C9"/>
    <w:rsid w:val="004E1ECF"/>
    <w:rsid w:val="00503E67"/>
    <w:rsid w:val="005049AE"/>
    <w:rsid w:val="00534E2F"/>
    <w:rsid w:val="0054122B"/>
    <w:rsid w:val="00565BA9"/>
    <w:rsid w:val="0057272A"/>
    <w:rsid w:val="00572973"/>
    <w:rsid w:val="0058060E"/>
    <w:rsid w:val="00582D32"/>
    <w:rsid w:val="005B1E6D"/>
    <w:rsid w:val="005B2CCE"/>
    <w:rsid w:val="005D115D"/>
    <w:rsid w:val="005D5F72"/>
    <w:rsid w:val="005F2B10"/>
    <w:rsid w:val="006079EC"/>
    <w:rsid w:val="0061394F"/>
    <w:rsid w:val="00614538"/>
    <w:rsid w:val="00615527"/>
    <w:rsid w:val="00615720"/>
    <w:rsid w:val="006166AD"/>
    <w:rsid w:val="00621F63"/>
    <w:rsid w:val="00627F87"/>
    <w:rsid w:val="006322CA"/>
    <w:rsid w:val="00640163"/>
    <w:rsid w:val="00647CB5"/>
    <w:rsid w:val="00652944"/>
    <w:rsid w:val="00654753"/>
    <w:rsid w:val="00657324"/>
    <w:rsid w:val="00661308"/>
    <w:rsid w:val="006678B1"/>
    <w:rsid w:val="00670761"/>
    <w:rsid w:val="00683573"/>
    <w:rsid w:val="00691408"/>
    <w:rsid w:val="006A2834"/>
    <w:rsid w:val="006B206A"/>
    <w:rsid w:val="006D277E"/>
    <w:rsid w:val="006F1E36"/>
    <w:rsid w:val="007215FC"/>
    <w:rsid w:val="00726F71"/>
    <w:rsid w:val="00745822"/>
    <w:rsid w:val="00746D4E"/>
    <w:rsid w:val="00774E2A"/>
    <w:rsid w:val="007778CF"/>
    <w:rsid w:val="00792166"/>
    <w:rsid w:val="007A01E3"/>
    <w:rsid w:val="007C4A96"/>
    <w:rsid w:val="007D5CA2"/>
    <w:rsid w:val="008037DA"/>
    <w:rsid w:val="0081254E"/>
    <w:rsid w:val="00817473"/>
    <w:rsid w:val="008176BD"/>
    <w:rsid w:val="00825F72"/>
    <w:rsid w:val="00827AD5"/>
    <w:rsid w:val="0083022B"/>
    <w:rsid w:val="00850D7C"/>
    <w:rsid w:val="008663B4"/>
    <w:rsid w:val="0087455E"/>
    <w:rsid w:val="008750BA"/>
    <w:rsid w:val="00886B62"/>
    <w:rsid w:val="00891C03"/>
    <w:rsid w:val="00897255"/>
    <w:rsid w:val="008B2CC5"/>
    <w:rsid w:val="008B497A"/>
    <w:rsid w:val="008D1BBE"/>
    <w:rsid w:val="008D3E1F"/>
    <w:rsid w:val="008E682D"/>
    <w:rsid w:val="008E7ABC"/>
    <w:rsid w:val="00901D14"/>
    <w:rsid w:val="00912160"/>
    <w:rsid w:val="00915C99"/>
    <w:rsid w:val="0092258B"/>
    <w:rsid w:val="00932EC7"/>
    <w:rsid w:val="00937A8F"/>
    <w:rsid w:val="00951927"/>
    <w:rsid w:val="009574EA"/>
    <w:rsid w:val="00970348"/>
    <w:rsid w:val="009703B7"/>
    <w:rsid w:val="00975410"/>
    <w:rsid w:val="0098239F"/>
    <w:rsid w:val="009863F8"/>
    <w:rsid w:val="009905AA"/>
    <w:rsid w:val="0099271B"/>
    <w:rsid w:val="00994AE7"/>
    <w:rsid w:val="009A2A03"/>
    <w:rsid w:val="009A3DC5"/>
    <w:rsid w:val="009B1B45"/>
    <w:rsid w:val="009B2713"/>
    <w:rsid w:val="009B37A0"/>
    <w:rsid w:val="009C56FD"/>
    <w:rsid w:val="009D0987"/>
    <w:rsid w:val="009D1198"/>
    <w:rsid w:val="009D32D9"/>
    <w:rsid w:val="009D6EC3"/>
    <w:rsid w:val="009E6182"/>
    <w:rsid w:val="009E61D6"/>
    <w:rsid w:val="00A02718"/>
    <w:rsid w:val="00A042FA"/>
    <w:rsid w:val="00A04AB4"/>
    <w:rsid w:val="00A346A4"/>
    <w:rsid w:val="00A42D00"/>
    <w:rsid w:val="00A455AC"/>
    <w:rsid w:val="00A503F1"/>
    <w:rsid w:val="00A65AB7"/>
    <w:rsid w:val="00A71BDD"/>
    <w:rsid w:val="00A8331D"/>
    <w:rsid w:val="00A94FB8"/>
    <w:rsid w:val="00AA4CA9"/>
    <w:rsid w:val="00B00441"/>
    <w:rsid w:val="00B02B66"/>
    <w:rsid w:val="00B11188"/>
    <w:rsid w:val="00B129CC"/>
    <w:rsid w:val="00B30550"/>
    <w:rsid w:val="00B34075"/>
    <w:rsid w:val="00B4228B"/>
    <w:rsid w:val="00B47528"/>
    <w:rsid w:val="00B50E31"/>
    <w:rsid w:val="00B549A6"/>
    <w:rsid w:val="00B56F22"/>
    <w:rsid w:val="00B636FE"/>
    <w:rsid w:val="00B71986"/>
    <w:rsid w:val="00B72782"/>
    <w:rsid w:val="00B92CC6"/>
    <w:rsid w:val="00BA08BE"/>
    <w:rsid w:val="00BA5DBE"/>
    <w:rsid w:val="00BC4AF5"/>
    <w:rsid w:val="00BC69C9"/>
    <w:rsid w:val="00BC7EFD"/>
    <w:rsid w:val="00BD1789"/>
    <w:rsid w:val="00BE3B9A"/>
    <w:rsid w:val="00BE4720"/>
    <w:rsid w:val="00BF2A96"/>
    <w:rsid w:val="00C06154"/>
    <w:rsid w:val="00C21529"/>
    <w:rsid w:val="00C30F72"/>
    <w:rsid w:val="00C41D5C"/>
    <w:rsid w:val="00C46D0D"/>
    <w:rsid w:val="00C56A49"/>
    <w:rsid w:val="00C638EF"/>
    <w:rsid w:val="00C7510D"/>
    <w:rsid w:val="00CA7602"/>
    <w:rsid w:val="00CA7B10"/>
    <w:rsid w:val="00CB01CC"/>
    <w:rsid w:val="00CB0CC7"/>
    <w:rsid w:val="00CB68B4"/>
    <w:rsid w:val="00CC0041"/>
    <w:rsid w:val="00CD7537"/>
    <w:rsid w:val="00CE39D6"/>
    <w:rsid w:val="00CF2662"/>
    <w:rsid w:val="00CF50C8"/>
    <w:rsid w:val="00D14D53"/>
    <w:rsid w:val="00D322D6"/>
    <w:rsid w:val="00D42172"/>
    <w:rsid w:val="00D66480"/>
    <w:rsid w:val="00D66A92"/>
    <w:rsid w:val="00D66BD0"/>
    <w:rsid w:val="00D72617"/>
    <w:rsid w:val="00D760D7"/>
    <w:rsid w:val="00D774E8"/>
    <w:rsid w:val="00D85704"/>
    <w:rsid w:val="00D86C19"/>
    <w:rsid w:val="00D90A03"/>
    <w:rsid w:val="00D91B7F"/>
    <w:rsid w:val="00D94F1A"/>
    <w:rsid w:val="00DB2D1D"/>
    <w:rsid w:val="00DC385D"/>
    <w:rsid w:val="00DC3B45"/>
    <w:rsid w:val="00DC5151"/>
    <w:rsid w:val="00DD27D5"/>
    <w:rsid w:val="00DD3EB3"/>
    <w:rsid w:val="00DD4170"/>
    <w:rsid w:val="00DE0248"/>
    <w:rsid w:val="00DE688D"/>
    <w:rsid w:val="00DE7672"/>
    <w:rsid w:val="00DF01CB"/>
    <w:rsid w:val="00E07F77"/>
    <w:rsid w:val="00E1320F"/>
    <w:rsid w:val="00E2196E"/>
    <w:rsid w:val="00E236DF"/>
    <w:rsid w:val="00E26F3A"/>
    <w:rsid w:val="00E3014A"/>
    <w:rsid w:val="00E4689B"/>
    <w:rsid w:val="00E52D59"/>
    <w:rsid w:val="00E54D4E"/>
    <w:rsid w:val="00E57B27"/>
    <w:rsid w:val="00E628BC"/>
    <w:rsid w:val="00E7625C"/>
    <w:rsid w:val="00E84263"/>
    <w:rsid w:val="00E857F7"/>
    <w:rsid w:val="00E86B05"/>
    <w:rsid w:val="00E91546"/>
    <w:rsid w:val="00EA3C1E"/>
    <w:rsid w:val="00EA4FCA"/>
    <w:rsid w:val="00EB0008"/>
    <w:rsid w:val="00ED744A"/>
    <w:rsid w:val="00EF0412"/>
    <w:rsid w:val="00EF3AF4"/>
    <w:rsid w:val="00F00F0E"/>
    <w:rsid w:val="00F01AEE"/>
    <w:rsid w:val="00F06F95"/>
    <w:rsid w:val="00F1236D"/>
    <w:rsid w:val="00F13CC0"/>
    <w:rsid w:val="00F2267F"/>
    <w:rsid w:val="00F34D89"/>
    <w:rsid w:val="00F420A1"/>
    <w:rsid w:val="00F45735"/>
    <w:rsid w:val="00F52CB6"/>
    <w:rsid w:val="00F53496"/>
    <w:rsid w:val="00F644BE"/>
    <w:rsid w:val="00F67D8D"/>
    <w:rsid w:val="00F7146D"/>
    <w:rsid w:val="00F929AD"/>
    <w:rsid w:val="00F97E27"/>
    <w:rsid w:val="00FA3D44"/>
    <w:rsid w:val="00FB229B"/>
    <w:rsid w:val="00FB3933"/>
    <w:rsid w:val="00FB4272"/>
    <w:rsid w:val="00FC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6B9A0"/>
  <w15:chartTrackingRefBased/>
  <w15:docId w15:val="{9E6720BC-E8F1-400F-B647-071A576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397674"/>
    <w:pPr>
      <w:outlineLvl w:val="0"/>
    </w:pPr>
    <w:rPr>
      <w:b w:val="0"/>
      <w:sz w:val="36"/>
    </w:rPr>
  </w:style>
  <w:style w:type="paragraph" w:styleId="Heading2">
    <w:name w:val="heading 2"/>
    <w:basedOn w:val="Normal"/>
    <w:next w:val="Normal"/>
    <w:link w:val="Heading2Char"/>
    <w:qFormat/>
    <w:rsid w:val="00397674"/>
    <w:pPr>
      <w:spacing w:after="0" w:line="240" w:lineRule="auto"/>
      <w:outlineLvl w:val="1"/>
    </w:pPr>
    <w:rPr>
      <w:rFonts w:ascii="Arial Black" w:eastAsia="Times New Roman" w:hAnsi="Arial Black" w:cs="Arial"/>
      <w:b/>
      <w:bCs/>
      <w:sz w:val="32"/>
      <w:szCs w:val="32"/>
    </w:rPr>
  </w:style>
  <w:style w:type="paragraph" w:styleId="Heading3">
    <w:name w:val="heading 3"/>
    <w:basedOn w:val="Normal"/>
    <w:next w:val="Normal"/>
    <w:link w:val="Heading3Char"/>
    <w:qFormat/>
    <w:rsid w:val="00397674"/>
    <w:pPr>
      <w:spacing w:after="0" w:line="240" w:lineRule="auto"/>
      <w:ind w:left="720" w:hanging="720"/>
      <w:jc w:val="both"/>
      <w:outlineLvl w:val="2"/>
    </w:pPr>
    <w:rPr>
      <w:rFonts w:ascii="Arial" w:eastAsia="Times New Roman" w:hAnsi="Arial" w:cs="Arial"/>
      <w:b/>
      <w:bCs/>
      <w:sz w:val="28"/>
      <w:szCs w:val="28"/>
    </w:rPr>
  </w:style>
  <w:style w:type="paragraph" w:styleId="Heading4">
    <w:name w:val="heading 4"/>
    <w:basedOn w:val="Normal"/>
    <w:next w:val="Normal"/>
    <w:link w:val="Heading4Char"/>
    <w:uiPriority w:val="9"/>
    <w:semiHidden/>
    <w:unhideWhenUsed/>
    <w:qFormat/>
    <w:rsid w:val="00061C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674"/>
    <w:rPr>
      <w:rFonts w:ascii="Arial Black" w:eastAsia="Times New Roman" w:hAnsi="Arial Black" w:cs="Arial"/>
      <w:bCs/>
      <w:sz w:val="36"/>
      <w:szCs w:val="32"/>
    </w:rPr>
  </w:style>
  <w:style w:type="character" w:customStyle="1" w:styleId="Heading2Char">
    <w:name w:val="Heading 2 Char"/>
    <w:basedOn w:val="DefaultParagraphFont"/>
    <w:link w:val="Heading2"/>
    <w:rsid w:val="00397674"/>
    <w:rPr>
      <w:rFonts w:ascii="Arial Black" w:eastAsia="Times New Roman" w:hAnsi="Arial Black" w:cs="Arial"/>
      <w:b/>
      <w:bCs/>
      <w:sz w:val="32"/>
      <w:szCs w:val="32"/>
    </w:rPr>
  </w:style>
  <w:style w:type="character" w:customStyle="1" w:styleId="Heading3Char">
    <w:name w:val="Heading 3 Char"/>
    <w:basedOn w:val="DefaultParagraphFont"/>
    <w:link w:val="Heading3"/>
    <w:rsid w:val="00397674"/>
    <w:rPr>
      <w:rFonts w:ascii="Arial" w:eastAsia="Times New Roman" w:hAnsi="Arial" w:cs="Arial"/>
      <w:b/>
      <w:bCs/>
      <w:sz w:val="28"/>
      <w:szCs w:val="28"/>
    </w:rPr>
  </w:style>
  <w:style w:type="paragraph" w:customStyle="1" w:styleId="Infotext">
    <w:name w:val="Info text"/>
    <w:basedOn w:val="Normal"/>
    <w:rsid w:val="00397674"/>
    <w:pPr>
      <w:spacing w:after="0" w:line="240" w:lineRule="auto"/>
    </w:pPr>
    <w:rPr>
      <w:rFonts w:ascii="Arial" w:eastAsia="Times New Roman" w:hAnsi="Arial" w:cs="Times New Roman"/>
      <w:sz w:val="28"/>
      <w:szCs w:val="20"/>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397674"/>
    <w:pPr>
      <w:spacing w:after="0" w:line="240" w:lineRule="auto"/>
      <w:ind w:left="720"/>
    </w:pPr>
    <w:rPr>
      <w:rFonts w:ascii="Arial" w:eastAsia="Times New Roman" w:hAnsi="Arial" w:cs="Times New Roman"/>
      <w:sz w:val="24"/>
      <w:szCs w:val="20"/>
    </w:rPr>
  </w:style>
  <w:style w:type="table" w:customStyle="1" w:styleId="Style1">
    <w:name w:val="Style1"/>
    <w:basedOn w:val="TableNormal"/>
    <w:uiPriority w:val="99"/>
    <w:rsid w:val="00397674"/>
    <w:pPr>
      <w:spacing w:after="0" w:line="240" w:lineRule="auto"/>
    </w:pPr>
    <w:rPr>
      <w:rFonts w:ascii="Arial" w:eastAsia="Times New Roman" w:hAnsi="Arial" w:cs="Times New Roman"/>
      <w:sz w:val="24"/>
      <w:szCs w:val="20"/>
      <w:lang w:eastAsia="en-GB"/>
    </w:rPr>
    <w:tblPr/>
    <w:tcPr>
      <w:shd w:val="clear" w:color="auto" w:fill="FFFFFF" w:themeFill="background1"/>
    </w:tc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397674"/>
    <w:rPr>
      <w:rFonts w:ascii="Arial" w:eastAsia="Times New Roman" w:hAnsi="Arial" w:cs="Times New Roman"/>
      <w:sz w:val="24"/>
      <w:szCs w:val="20"/>
    </w:rPr>
  </w:style>
  <w:style w:type="paragraph" w:styleId="CommentText">
    <w:name w:val="annotation text"/>
    <w:basedOn w:val="Normal"/>
    <w:link w:val="CommentTextChar"/>
    <w:unhideWhenUsed/>
    <w:rsid w:val="00327BBA"/>
    <w:pPr>
      <w:spacing w:after="0" w:line="240" w:lineRule="auto"/>
    </w:pPr>
    <w:rPr>
      <w:rFonts w:ascii="Calibri" w:eastAsia="Calibri" w:hAnsi="Calibri" w:cs="Calibri"/>
      <w:sz w:val="20"/>
      <w:lang w:eastAsia="en-GB"/>
    </w:rPr>
  </w:style>
  <w:style w:type="character" w:customStyle="1" w:styleId="CommentTextChar">
    <w:name w:val="Comment Text Char"/>
    <w:basedOn w:val="DefaultParagraphFont"/>
    <w:link w:val="CommentText"/>
    <w:rsid w:val="00327BBA"/>
    <w:rPr>
      <w:rFonts w:ascii="Calibri" w:eastAsia="Calibri" w:hAnsi="Calibri" w:cs="Calibri"/>
      <w:sz w:val="20"/>
      <w:lang w:eastAsia="en-GB"/>
    </w:rPr>
  </w:style>
  <w:style w:type="character" w:styleId="CommentReference">
    <w:name w:val="annotation reference"/>
    <w:semiHidden/>
    <w:rsid w:val="00327BBA"/>
    <w:rPr>
      <w:sz w:val="16"/>
      <w:szCs w:val="16"/>
    </w:rPr>
  </w:style>
  <w:style w:type="character" w:styleId="Hyperlink">
    <w:name w:val="Hyperlink"/>
    <w:rsid w:val="00E86B05"/>
    <w:rPr>
      <w:color w:val="0000FF"/>
      <w:u w:val="single"/>
    </w:rPr>
  </w:style>
  <w:style w:type="table" w:styleId="TableGrid">
    <w:name w:val="Table Grid"/>
    <w:basedOn w:val="TableNormal"/>
    <w:rsid w:val="00E86B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61C1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8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73"/>
  </w:style>
  <w:style w:type="paragraph" w:styleId="Footer">
    <w:name w:val="footer"/>
    <w:basedOn w:val="Normal"/>
    <w:link w:val="FooterChar"/>
    <w:uiPriority w:val="99"/>
    <w:unhideWhenUsed/>
    <w:rsid w:val="0068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73"/>
  </w:style>
  <w:style w:type="paragraph" w:styleId="Revision">
    <w:name w:val="Revision"/>
    <w:hidden/>
    <w:uiPriority w:val="99"/>
    <w:semiHidden/>
    <w:rsid w:val="00F52CB6"/>
    <w:pPr>
      <w:spacing w:after="0" w:line="240" w:lineRule="auto"/>
    </w:pPr>
  </w:style>
  <w:style w:type="paragraph" w:styleId="CommentSubject">
    <w:name w:val="annotation subject"/>
    <w:basedOn w:val="CommentText"/>
    <w:next w:val="CommentText"/>
    <w:link w:val="CommentSubjectChar"/>
    <w:uiPriority w:val="99"/>
    <w:semiHidden/>
    <w:unhideWhenUsed/>
    <w:rsid w:val="00C21529"/>
    <w:pPr>
      <w:spacing w:after="160"/>
    </w:pPr>
    <w:rPr>
      <w:rFonts w:asciiTheme="minorHAnsi" w:eastAsiaTheme="minorHAnsi"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C21529"/>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silverio@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Gann</dc:creator>
  <cp:keywords/>
  <dc:description/>
  <cp:lastModifiedBy>Andrew Seaman5</cp:lastModifiedBy>
  <cp:revision>3</cp:revision>
  <dcterms:created xsi:type="dcterms:W3CDTF">2024-03-04T18:00:00Z</dcterms:created>
  <dcterms:modified xsi:type="dcterms:W3CDTF">2024-03-06T09:34:00Z</dcterms:modified>
</cp:coreProperties>
</file>